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DE" w:rsidRDefault="009A7CDE" w:rsidP="009A7CDE">
      <w:pPr>
        <w:jc w:val="center"/>
        <w:rPr>
          <w:b/>
          <w:bCs/>
          <w:sz w:val="28"/>
          <w:szCs w:val="28"/>
        </w:rPr>
      </w:pPr>
      <w:r>
        <w:rPr>
          <w:noProof/>
          <w:lang w:eastAsia="en-AU" w:bidi="ar-SA"/>
        </w:rPr>
        <w:drawing>
          <wp:anchor distT="0" distB="0" distL="0" distR="0" simplePos="0" relativeHeight="251659264" behindDoc="0" locked="0" layoutInCell="1" allowOverlap="1" wp14:anchorId="0B08FFAF" wp14:editId="73458449">
            <wp:simplePos x="0" y="0"/>
            <wp:positionH relativeFrom="column">
              <wp:posOffset>2108200</wp:posOffset>
            </wp:positionH>
            <wp:positionV relativeFrom="paragraph">
              <wp:posOffset>152400</wp:posOffset>
            </wp:positionV>
            <wp:extent cx="2208530" cy="30988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30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CDE" w:rsidRDefault="009A7CDE" w:rsidP="009A7CDE">
      <w:pPr>
        <w:jc w:val="center"/>
        <w:rPr>
          <w:b/>
          <w:bCs/>
          <w:sz w:val="28"/>
          <w:szCs w:val="28"/>
        </w:rPr>
      </w:pPr>
    </w:p>
    <w:p w:rsidR="009A7CDE" w:rsidRDefault="009A7CDE" w:rsidP="009A7CDE">
      <w:pPr>
        <w:jc w:val="center"/>
        <w:rPr>
          <w:b/>
          <w:bCs/>
          <w:sz w:val="28"/>
          <w:szCs w:val="28"/>
        </w:rPr>
      </w:pPr>
    </w:p>
    <w:p w:rsidR="009A7CDE" w:rsidRDefault="009A7CDE" w:rsidP="009A7C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SAFETY DATA SHEET</w:t>
      </w:r>
    </w:p>
    <w:p w:rsidR="009A7CDE" w:rsidRDefault="009A7CDE" w:rsidP="009A7CDE"/>
    <w:p w:rsidR="009A7CDE" w:rsidRDefault="006812EA" w:rsidP="009A7CDE">
      <w:r>
        <w:t>Preparation Date:</w:t>
      </w:r>
      <w:r>
        <w:tab/>
        <w:t>02/05</w:t>
      </w:r>
      <w:r w:rsidR="002B599F">
        <w:t>/2019</w:t>
      </w:r>
    </w:p>
    <w:p w:rsidR="009A7CDE" w:rsidRDefault="009A7CDE" w:rsidP="009A7CDE">
      <w:r>
        <w:t xml:space="preserve">Version: </w:t>
      </w:r>
      <w:r>
        <w:tab/>
      </w:r>
      <w:r>
        <w:tab/>
        <w:t>1.0</w:t>
      </w:r>
    </w:p>
    <w:p w:rsidR="009A7CDE" w:rsidRDefault="009A7CDE" w:rsidP="009A7CDE"/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t>1. Identification</w:t>
      </w:r>
    </w:p>
    <w:p w:rsidR="009A7CDE" w:rsidRDefault="009A7CDE" w:rsidP="009A7CDE"/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6975"/>
      </w:tblGrid>
      <w:tr w:rsidR="009A7CDE" w:rsidTr="00BA75A8"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Product Name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1D70B3" w:rsidP="00BA75A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Make Remover Wipe</w:t>
            </w:r>
          </w:p>
        </w:tc>
      </w:tr>
      <w:tr w:rsidR="009A7CDE" w:rsidTr="00BA75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Article Number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1D70B3" w:rsidP="00BA75A8">
            <w:pPr>
              <w:pStyle w:val="TableContents"/>
            </w:pPr>
            <w:r>
              <w:t>5620, 5623, 5624</w:t>
            </w:r>
          </w:p>
        </w:tc>
      </w:tr>
      <w:tr w:rsidR="009A7CDE" w:rsidTr="00BA75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Recommended Use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412F14" w:rsidP="00BA75A8">
            <w:pPr>
              <w:pStyle w:val="TableContents"/>
            </w:pPr>
            <w:r>
              <w:t xml:space="preserve">Cosmetic applications </w:t>
            </w:r>
          </w:p>
        </w:tc>
      </w:tr>
      <w:tr w:rsidR="009A7CDE" w:rsidTr="00BA75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Supplier / Importer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Kryolan Australia Pty Ltd</w:t>
            </w:r>
          </w:p>
          <w:p w:rsidR="009A7CDE" w:rsidRDefault="009A7CDE" w:rsidP="00BA75A8">
            <w:pPr>
              <w:pStyle w:val="TableContents"/>
            </w:pPr>
            <w:r>
              <w:t>86 Woodlands Drive</w:t>
            </w:r>
          </w:p>
          <w:p w:rsidR="009A7CDE" w:rsidRDefault="009A7CDE" w:rsidP="00BA75A8">
            <w:pPr>
              <w:pStyle w:val="TableContents"/>
            </w:pPr>
            <w:r>
              <w:t>Braeside Vic 3195</w:t>
            </w:r>
          </w:p>
          <w:p w:rsidR="009A7CDE" w:rsidRDefault="009A7CDE" w:rsidP="00BA75A8">
            <w:pPr>
              <w:pStyle w:val="TableContents"/>
            </w:pPr>
            <w:r>
              <w:t>Australia</w:t>
            </w:r>
          </w:p>
          <w:p w:rsidR="009A7CDE" w:rsidRDefault="009A7CDE" w:rsidP="00BA75A8">
            <w:pPr>
              <w:pStyle w:val="TableContents"/>
            </w:pPr>
          </w:p>
          <w:p w:rsidR="009A7CDE" w:rsidRDefault="009A7CDE" w:rsidP="00BA75A8">
            <w:pPr>
              <w:pStyle w:val="TableContents"/>
            </w:pPr>
            <w:proofErr w:type="spellStart"/>
            <w:r>
              <w:t>Ph</w:t>
            </w:r>
            <w:proofErr w:type="spellEnd"/>
            <w:r>
              <w:t xml:space="preserve">: 03 </w:t>
            </w:r>
            <w:r w:rsidR="00FF56D5">
              <w:t xml:space="preserve">9580 8122  </w:t>
            </w:r>
          </w:p>
          <w:p w:rsidR="009A7CDE" w:rsidRDefault="009A7CDE" w:rsidP="00BA75A8">
            <w:pPr>
              <w:pStyle w:val="TableContents"/>
            </w:pPr>
            <w:r>
              <w:t xml:space="preserve">Fax: 03 9580 7074 </w:t>
            </w:r>
          </w:p>
          <w:p w:rsidR="009A7CDE" w:rsidRDefault="009A7CDE" w:rsidP="00BA75A8">
            <w:pPr>
              <w:pStyle w:val="TableContents"/>
            </w:pPr>
          </w:p>
          <w:p w:rsidR="009A7CDE" w:rsidRDefault="009A7CDE" w:rsidP="00BA75A8">
            <w:pPr>
              <w:pStyle w:val="TableContents"/>
            </w:pPr>
            <w:r>
              <w:t>Email: sales@kryolan.com.au</w:t>
            </w:r>
          </w:p>
          <w:p w:rsidR="009A7CDE" w:rsidRDefault="009A7CDE" w:rsidP="00BA75A8">
            <w:pPr>
              <w:pStyle w:val="TableContents"/>
            </w:pPr>
            <w:r>
              <w:t>Web: www.kryolan.com.au</w:t>
            </w:r>
          </w:p>
        </w:tc>
      </w:tr>
      <w:tr w:rsidR="009A7CDE" w:rsidTr="00BA75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Emergency Contact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FF56D5">
            <w:pPr>
              <w:pStyle w:val="TableContents"/>
            </w:pPr>
            <w:r>
              <w:t>03</w:t>
            </w:r>
            <w:r w:rsidR="00FF56D5">
              <w:t xml:space="preserve"> 9580 8122 </w:t>
            </w:r>
            <w:r>
              <w:t xml:space="preserve"> or 0419 586 189 (after hours)</w:t>
            </w:r>
          </w:p>
        </w:tc>
      </w:tr>
    </w:tbl>
    <w:p w:rsidR="009A7CDE" w:rsidRDefault="009A7CDE" w:rsidP="009A7CDE"/>
    <w:p w:rsidR="009A7CDE" w:rsidRDefault="009A7CDE" w:rsidP="009A7CDE"/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t>2. Hazard Identification</w:t>
      </w:r>
    </w:p>
    <w:p w:rsidR="009A7CDE" w:rsidRDefault="009A7CDE" w:rsidP="009A7CDE">
      <w:pPr>
        <w:pStyle w:val="TextBody"/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15"/>
        <w:gridCol w:w="6975"/>
      </w:tblGrid>
      <w:tr w:rsidR="009A7CDE" w:rsidTr="00BA75A8"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Signal Word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None</w:t>
            </w:r>
          </w:p>
        </w:tc>
      </w:tr>
      <w:tr w:rsidR="009A7CDE" w:rsidTr="00BA75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Hazard Statement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Void</w:t>
            </w:r>
          </w:p>
          <w:p w:rsidR="000B1F16" w:rsidRDefault="000B1F16" w:rsidP="00BA75A8">
            <w:pPr>
              <w:pStyle w:val="TableContents"/>
            </w:pP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· </w:t>
            </w:r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Classification of the substance or mixture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· </w:t>
            </w:r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Classification according to Regulation (EC) No 1272/2008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The product is not classified according to the CLP regulation.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· </w:t>
            </w:r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Classification according to Directive 67/548/EEC or Directive 1999/45/EC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The product contains no substances classified as hazardous to health or environment in </w:t>
            </w:r>
            <w:proofErr w:type="spellStart"/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concentrations,which</w:t>
            </w:r>
            <w:proofErr w:type="spellEnd"/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should be taken into account according to directive 67/548/EEC.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Void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· </w:t>
            </w:r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Information concerning particular hazards for human and environment: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The product does not have to be labelled due to the calculation procedure of the "General Classification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guideline for preparations of the EU" in the latest valid version.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· </w:t>
            </w:r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Classification system: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The classification is according to the latest editions of the EU-lists, and extended by company and literature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lastRenderedPageBreak/>
              <w:t>data.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· </w:t>
            </w:r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Label elements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· </w:t>
            </w:r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Labelling according to EU guidelines: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As a cosmetic preparation, the product is not subject to the provisions of the Chemical Law and the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Ordinance on Hazardous Materials. However, general safety regulations should be observed.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Although this product is not subject to identification regulations, we recommend that the safety suggestions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are observed.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· </w:t>
            </w:r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Special labelling of certain preparations: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Safety data sheet available for professional user on request.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· </w:t>
            </w:r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Other hazards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· </w:t>
            </w:r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Results of PBT and </w:t>
            </w:r>
            <w:proofErr w:type="spellStart"/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vPvB</w:t>
            </w:r>
            <w:proofErr w:type="spellEnd"/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 assessment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· </w:t>
            </w:r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PBT: </w:t>
            </w: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Not applicable.</w:t>
            </w:r>
          </w:p>
          <w:p w:rsidR="000B1F16" w:rsidRDefault="000B1F16" w:rsidP="000B1F1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· </w:t>
            </w:r>
            <w:proofErr w:type="spellStart"/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>vPvB</w:t>
            </w:r>
            <w:proofErr w:type="spellEnd"/>
            <w:r>
              <w:rPr>
                <w:rFonts w:eastAsiaTheme="minorHAnsi" w:cs="Times New Roman"/>
                <w:b/>
                <w:bCs/>
                <w:i/>
                <w:iCs/>
                <w:color w:val="000000"/>
                <w:sz w:val="20"/>
                <w:szCs w:val="20"/>
                <w:lang w:eastAsia="en-US" w:bidi="ar-SA"/>
              </w:rPr>
              <w:t xml:space="preserve">: </w:t>
            </w:r>
            <w:r>
              <w:rPr>
                <w:rFonts w:eastAsiaTheme="minorHAnsi" w:cs="Times New Roman"/>
                <w:i/>
                <w:iCs/>
                <w:color w:val="000000"/>
                <w:sz w:val="20"/>
                <w:szCs w:val="20"/>
                <w:lang w:eastAsia="en-US" w:bidi="ar-SA"/>
              </w:rPr>
              <w:t>Not applicable.</w:t>
            </w:r>
          </w:p>
          <w:p w:rsidR="000B1F16" w:rsidRDefault="000B1F16" w:rsidP="000B1F16">
            <w:pPr>
              <w:pStyle w:val="TableContents"/>
            </w:pPr>
            <w:r>
              <w:rPr>
                <w:rFonts w:eastAsiaTheme="minorHAnsi" w:cs="Times New Roman"/>
                <w:b/>
                <w:bCs/>
                <w:i/>
                <w:iCs/>
                <w:color w:val="FFFFFF"/>
                <w:lang w:eastAsia="en-US" w:bidi="ar-SA"/>
              </w:rPr>
              <w:t>3 Composition/information on</w:t>
            </w:r>
          </w:p>
        </w:tc>
      </w:tr>
      <w:tr w:rsidR="009A7CDE" w:rsidTr="00BA75A8">
        <w:tc>
          <w:tcPr>
            <w:tcW w:w="27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lastRenderedPageBreak/>
              <w:t>Precautionary Statements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rPr>
                <w:i/>
                <w:iCs/>
              </w:rPr>
              <w:t>Prevention:</w:t>
            </w:r>
            <w:r>
              <w:t xml:space="preserve"> Void</w:t>
            </w:r>
          </w:p>
          <w:p w:rsidR="00A95277" w:rsidRDefault="009A7CDE" w:rsidP="00BA75A8">
            <w:pPr>
              <w:pStyle w:val="TableContents"/>
            </w:pPr>
            <w:r>
              <w:rPr>
                <w:i/>
                <w:iCs/>
              </w:rPr>
              <w:t>Response:</w:t>
            </w:r>
            <w:r w:rsidR="00A95277">
              <w:t xml:space="preserve"> Void</w:t>
            </w:r>
          </w:p>
          <w:p w:rsidR="009A7CDE" w:rsidRDefault="00A95277" w:rsidP="00BA75A8">
            <w:pPr>
              <w:pStyle w:val="TableContents"/>
            </w:pPr>
            <w:r>
              <w:t xml:space="preserve"> </w:t>
            </w:r>
          </w:p>
          <w:p w:rsidR="009A7CDE" w:rsidRDefault="009A7CDE" w:rsidP="00BA75A8">
            <w:pPr>
              <w:pStyle w:val="TableContents"/>
            </w:pPr>
            <w:r>
              <w:rPr>
                <w:i/>
                <w:iCs/>
              </w:rPr>
              <w:t>Storage</w:t>
            </w:r>
            <w:r>
              <w:t>:</w:t>
            </w:r>
          </w:p>
          <w:p w:rsidR="009A7CDE" w:rsidRDefault="008614F0" w:rsidP="00BA75A8">
            <w:pPr>
              <w:pStyle w:val="TableContents"/>
            </w:pPr>
            <w:r>
              <w:t>Store in</w:t>
            </w:r>
            <w:r w:rsidR="009A7CDE">
              <w:t xml:space="preserve"> a well-ventilated place. Keep cool.</w:t>
            </w:r>
          </w:p>
          <w:p w:rsidR="009A7CDE" w:rsidRDefault="009A7CDE" w:rsidP="00BA75A8">
            <w:pPr>
              <w:pStyle w:val="TableContents"/>
            </w:pPr>
          </w:p>
          <w:p w:rsidR="009A7CDE" w:rsidRDefault="009A7CDE" w:rsidP="00BA75A8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Disposal:</w:t>
            </w:r>
          </w:p>
          <w:p w:rsidR="009A7CDE" w:rsidRDefault="009A7CDE" w:rsidP="00BA75A8">
            <w:pPr>
              <w:pStyle w:val="TableContents"/>
            </w:pPr>
            <w:r>
              <w:t>Disposal of contents/container in accordance with local regulations.</w:t>
            </w:r>
          </w:p>
          <w:p w:rsidR="009A7CDE" w:rsidRDefault="009A7CDE" w:rsidP="00BA75A8">
            <w:pPr>
              <w:pStyle w:val="TableContents"/>
            </w:pPr>
          </w:p>
        </w:tc>
      </w:tr>
    </w:tbl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t>3. Composition and information on ingredients</w:t>
      </w:r>
    </w:p>
    <w:p w:rsidR="00A95277" w:rsidRDefault="00A95277" w:rsidP="009A7CDE">
      <w:pPr>
        <w:pStyle w:val="TextBody"/>
      </w:pPr>
      <w:r>
        <w:t xml:space="preserve">Aqua (Water), </w:t>
      </w:r>
      <w:proofErr w:type="spellStart"/>
      <w:r>
        <w:t>Cocamidopropyl</w:t>
      </w:r>
      <w:proofErr w:type="spellEnd"/>
      <w:r>
        <w:t xml:space="preserve"> Betaine, </w:t>
      </w:r>
      <w:proofErr w:type="spellStart"/>
      <w:r>
        <w:t>Poloxamer</w:t>
      </w:r>
      <w:proofErr w:type="spellEnd"/>
      <w:r>
        <w:t xml:space="preserve"> 188, Polyquaternium-44, </w:t>
      </w:r>
      <w:proofErr w:type="spellStart"/>
      <w:r>
        <w:t>Panthenol</w:t>
      </w:r>
      <w:proofErr w:type="spellEnd"/>
      <w:r>
        <w:t xml:space="preserve">, </w:t>
      </w:r>
      <w:proofErr w:type="spellStart"/>
      <w:r>
        <w:t>Hexylene</w:t>
      </w:r>
      <w:proofErr w:type="spellEnd"/>
      <w:r>
        <w:t xml:space="preserve"> Glycol, </w:t>
      </w:r>
      <w:proofErr w:type="spellStart"/>
      <w:r>
        <w:t>Glycerin</w:t>
      </w:r>
      <w:proofErr w:type="spellEnd"/>
      <w:r>
        <w:t xml:space="preserve">, Fructose, Glucose, </w:t>
      </w:r>
      <w:proofErr w:type="spellStart"/>
      <w:r>
        <w:t>Phenoxyethanol</w:t>
      </w:r>
      <w:proofErr w:type="spellEnd"/>
      <w:r>
        <w:t xml:space="preserve">, Citric Acid, Dextrin, Sucrose, Urea, </w:t>
      </w:r>
      <w:proofErr w:type="spellStart"/>
      <w:r>
        <w:t>Methylparaben</w:t>
      </w:r>
      <w:proofErr w:type="spellEnd"/>
      <w:r>
        <w:t xml:space="preserve">, </w:t>
      </w:r>
      <w:proofErr w:type="spellStart"/>
      <w:r>
        <w:t>Ethylparaben</w:t>
      </w:r>
      <w:proofErr w:type="spellEnd"/>
      <w:r>
        <w:t xml:space="preserve">, </w:t>
      </w:r>
      <w:proofErr w:type="spellStart"/>
      <w:r>
        <w:t>Propylparaben</w:t>
      </w:r>
      <w:proofErr w:type="spellEnd"/>
      <w:r>
        <w:t xml:space="preserve">, Aspartic Acid, Glutamic Acid, Alanine, Hexyl Nicotinate, </w:t>
      </w:r>
      <w:proofErr w:type="spellStart"/>
      <w:r>
        <w:t>Parfum</w:t>
      </w:r>
      <w:proofErr w:type="spellEnd"/>
      <w:r>
        <w:t xml:space="preserve"> (Fragrance)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0"/>
      </w:tblGrid>
      <w:tr w:rsidR="009A7CDE" w:rsidTr="00BA75A8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Chemical Name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Type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CAS Number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Proportion</w:t>
            </w:r>
          </w:p>
        </w:tc>
      </w:tr>
      <w:tr w:rsidR="00EA134D" w:rsidTr="00BA75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A134D" w:rsidRDefault="00EA134D" w:rsidP="00924B4A">
            <w:pPr>
              <w:pStyle w:val="TableContents"/>
            </w:pPr>
            <w:r>
              <w:t>Mixtures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A134D" w:rsidRDefault="00EA134D" w:rsidP="00924B4A">
            <w:pPr>
              <w:pStyle w:val="TableContents"/>
            </w:pPr>
            <w:r>
              <w:t>Non-hazardous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A134D" w:rsidRDefault="00EA134D" w:rsidP="00924B4A">
            <w:pPr>
              <w:pStyle w:val="TableContents"/>
            </w:pPr>
            <w:r>
              <w:t>Void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A134D" w:rsidRDefault="00EA134D" w:rsidP="00BA75A8">
            <w:pPr>
              <w:pStyle w:val="TableContents"/>
            </w:pPr>
          </w:p>
        </w:tc>
      </w:tr>
      <w:tr w:rsidR="00EA134D" w:rsidTr="00BA75A8"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A134D" w:rsidRDefault="00EA134D" w:rsidP="00BA75A8">
            <w:pPr>
              <w:pStyle w:val="TableContents"/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A134D" w:rsidRDefault="00EA134D" w:rsidP="00BA75A8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A134D" w:rsidRDefault="00EA134D" w:rsidP="00BA75A8">
            <w:pPr>
              <w:pStyle w:val="TableContents"/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A134D" w:rsidRDefault="00EA134D" w:rsidP="00BA75A8">
            <w:pPr>
              <w:pStyle w:val="TableContents"/>
            </w:pPr>
          </w:p>
        </w:tc>
      </w:tr>
    </w:tbl>
    <w:p w:rsidR="009A7CDE" w:rsidRDefault="009A7CDE" w:rsidP="009A7CDE">
      <w:pPr>
        <w:pStyle w:val="TextBody"/>
      </w:pPr>
      <w:bookmarkStart w:id="0" w:name="_GoBack"/>
      <w:bookmarkEnd w:id="0"/>
    </w:p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t>4. First Aid Measures</w:t>
      </w:r>
    </w:p>
    <w:p w:rsidR="009A7CDE" w:rsidRDefault="009A7CDE" w:rsidP="009A7CDE">
      <w:pPr>
        <w:pStyle w:val="TextBody"/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7380"/>
      </w:tblGrid>
      <w:tr w:rsidR="009A7CDE" w:rsidTr="00BA75A8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General Information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No known irritant</w:t>
            </w:r>
          </w:p>
        </w:tc>
      </w:tr>
      <w:tr w:rsidR="009A7CDE" w:rsidTr="00BA75A8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Inhaled</w:t>
            </w:r>
          </w:p>
        </w:tc>
        <w:tc>
          <w:tcPr>
            <w:tcW w:w="7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Void</w:t>
            </w:r>
          </w:p>
        </w:tc>
      </w:tr>
      <w:tr w:rsidR="009A7CDE" w:rsidTr="00BA75A8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Skin Contact</w:t>
            </w:r>
          </w:p>
        </w:tc>
        <w:tc>
          <w:tcPr>
            <w:tcW w:w="7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skin irritation continues, consult a doctor.</w:t>
            </w:r>
          </w:p>
        </w:tc>
      </w:tr>
      <w:tr w:rsidR="009A7CDE" w:rsidTr="00BA75A8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Eye Contact</w:t>
            </w:r>
          </w:p>
        </w:tc>
        <w:tc>
          <w:tcPr>
            <w:tcW w:w="7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Rinse opened eye for several minutes under running water. Then consult a doctor.</w:t>
            </w:r>
          </w:p>
        </w:tc>
      </w:tr>
      <w:tr w:rsidR="009A7CDE" w:rsidTr="00BA75A8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Swallowed</w:t>
            </w:r>
          </w:p>
        </w:tc>
        <w:tc>
          <w:tcPr>
            <w:tcW w:w="7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Rinse out mouth and then drink plenty of water.</w:t>
            </w:r>
          </w:p>
          <w:p w:rsidR="009A7CDE" w:rsidRDefault="009A7CDE" w:rsidP="00BA75A8">
            <w:pPr>
              <w:rPr>
                <w:sz w:val="22"/>
                <w:szCs w:val="22"/>
              </w:rPr>
            </w:pPr>
          </w:p>
        </w:tc>
      </w:tr>
      <w:tr w:rsidR="009A7CDE" w:rsidTr="00BA75A8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Possible symptoms</w:t>
            </w:r>
          </w:p>
        </w:tc>
        <w:tc>
          <w:tcPr>
            <w:tcW w:w="7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Pr="00EA134D" w:rsidRDefault="00EA134D" w:rsidP="00BA75A8">
            <w:pPr>
              <w:rPr>
                <w:sz w:val="22"/>
                <w:szCs w:val="22"/>
              </w:rPr>
            </w:pPr>
            <w:r w:rsidRPr="00EA134D">
              <w:rPr>
                <w:rFonts w:eastAsiaTheme="minorHAnsi" w:cs="Times New Roman"/>
                <w:iCs/>
                <w:sz w:val="22"/>
                <w:szCs w:val="22"/>
                <w:lang w:eastAsia="en-US" w:bidi="ar-SA"/>
              </w:rPr>
              <w:t>No further relevant information available.</w:t>
            </w:r>
          </w:p>
        </w:tc>
      </w:tr>
    </w:tbl>
    <w:p w:rsidR="009A7CDE" w:rsidRDefault="009A7CDE" w:rsidP="009A7CDE">
      <w:pPr>
        <w:pStyle w:val="TextBody"/>
      </w:pPr>
    </w:p>
    <w:p w:rsidR="007A212B" w:rsidRDefault="007A212B" w:rsidP="007A212B">
      <w:pPr>
        <w:pStyle w:val="Heading1"/>
        <w:numPr>
          <w:ilvl w:val="0"/>
          <w:numId w:val="1"/>
        </w:numPr>
        <w:ind w:left="420" w:hanging="433"/>
      </w:pPr>
      <w:r>
        <w:t>5. Fire-fighting measures</w:t>
      </w:r>
    </w:p>
    <w:p w:rsidR="007A212B" w:rsidRDefault="007A212B" w:rsidP="007A212B">
      <w:pPr>
        <w:pStyle w:val="TextBody"/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6975"/>
      </w:tblGrid>
      <w:tr w:rsidR="007A212B" w:rsidTr="00DE6B5E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A212B" w:rsidRDefault="007A212B" w:rsidP="00DE6B5E">
            <w:pPr>
              <w:pStyle w:val="TableContents"/>
            </w:pPr>
            <w:r>
              <w:t>Suitable extinguishing equipment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A212B" w:rsidRDefault="00A95277" w:rsidP="00DE6B5E">
            <w:pPr>
              <w:rPr>
                <w:rFonts w:ascii="Times-Italic" w:hAnsi="Times-Italic"/>
                <w:sz w:val="22"/>
                <w:szCs w:val="22"/>
              </w:rPr>
            </w:pPr>
            <w:r>
              <w:rPr>
                <w:rFonts w:ascii="Times-Italic" w:hAnsi="Times-Italic"/>
                <w:sz w:val="22"/>
                <w:szCs w:val="22"/>
              </w:rPr>
              <w:t>Void</w:t>
            </w:r>
          </w:p>
        </w:tc>
      </w:tr>
      <w:tr w:rsidR="007A212B" w:rsidTr="00DE6B5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A212B" w:rsidRDefault="007A212B" w:rsidP="00DE6B5E">
            <w:pPr>
              <w:pStyle w:val="TableContents"/>
            </w:pPr>
            <w:r>
              <w:t>Specific hazards caused by the substance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A212B" w:rsidRDefault="007A212B" w:rsidP="00DE6B5E">
            <w:pPr>
              <w:rPr>
                <w:rFonts w:ascii="Times-Italic" w:hAnsi="Times-Italic"/>
                <w:sz w:val="22"/>
                <w:szCs w:val="22"/>
              </w:rPr>
            </w:pPr>
            <w:r>
              <w:rPr>
                <w:rFonts w:ascii="Times-Italic" w:hAnsi="Times-Italic"/>
                <w:sz w:val="22"/>
                <w:szCs w:val="22"/>
              </w:rPr>
              <w:t>Void</w:t>
            </w:r>
          </w:p>
        </w:tc>
      </w:tr>
      <w:tr w:rsidR="007A212B" w:rsidTr="00DE6B5E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7A212B" w:rsidRDefault="007A212B" w:rsidP="00DE6B5E">
            <w:pPr>
              <w:pStyle w:val="TableContents"/>
            </w:pPr>
            <w:r>
              <w:t>Special Protective Equipment for Fire Fighters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A212B" w:rsidRDefault="007A212B" w:rsidP="00DE6B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Void</w:t>
            </w:r>
          </w:p>
        </w:tc>
      </w:tr>
    </w:tbl>
    <w:p w:rsidR="007A212B" w:rsidRDefault="007A212B" w:rsidP="007A212B">
      <w:pPr>
        <w:pStyle w:val="TextBody"/>
      </w:pPr>
    </w:p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t>6. Accidental Release Measures</w:t>
      </w:r>
    </w:p>
    <w:p w:rsidR="009A7CDE" w:rsidRDefault="009A7CDE" w:rsidP="009A7CDE">
      <w:pPr>
        <w:pStyle w:val="TextBody"/>
      </w:pPr>
      <w:r>
        <w:t>Observe all local regulations.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6975"/>
      </w:tblGrid>
      <w:tr w:rsidR="009A7CDE" w:rsidTr="00BA75A8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Personal Precautions, Protective Equipment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required</w:t>
            </w:r>
          </w:p>
        </w:tc>
      </w:tr>
      <w:tr w:rsidR="009A7CDE" w:rsidTr="00BA75A8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Environmental Precautions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required</w:t>
            </w:r>
          </w:p>
        </w:tc>
      </w:tr>
      <w:tr w:rsidR="009A7CDE" w:rsidTr="00BA75A8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 xml:space="preserve">Methods and materials for containment and </w:t>
            </w:r>
            <w:proofErr w:type="spellStart"/>
            <w:r>
              <w:t>cleanup</w:t>
            </w:r>
            <w:proofErr w:type="spellEnd"/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special measures required</w:t>
            </w:r>
          </w:p>
        </w:tc>
      </w:tr>
    </w:tbl>
    <w:p w:rsidR="009A7CDE" w:rsidRDefault="009A7CDE" w:rsidP="009A7CDE">
      <w:pPr>
        <w:pStyle w:val="TextBody"/>
      </w:pPr>
    </w:p>
    <w:p w:rsidR="009A7CDE" w:rsidRDefault="009A7CDE" w:rsidP="009A7CDE">
      <w:pPr>
        <w:rPr>
          <w:rFonts w:ascii="Times-BoldItalic" w:hAnsi="Times-BoldItalic"/>
          <w:b/>
          <w:i/>
          <w:sz w:val="20"/>
        </w:rPr>
      </w:pPr>
    </w:p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t>7. Handling and storage</w:t>
      </w:r>
    </w:p>
    <w:p w:rsidR="009A7CDE" w:rsidRDefault="009A7CDE" w:rsidP="009A7CDE">
      <w:pPr>
        <w:pStyle w:val="TextBody"/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7380"/>
      </w:tblGrid>
      <w:tr w:rsidR="009A7CDE" w:rsidTr="00BA75A8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Safe Handling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away from heat and direct sunlight.</w:t>
            </w:r>
          </w:p>
          <w:p w:rsidR="009A7CDE" w:rsidRDefault="009A7CDE" w:rsidP="00B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9A7CDE" w:rsidRDefault="009A7CDE" w:rsidP="00BA75A8">
            <w:pPr>
              <w:rPr>
                <w:sz w:val="22"/>
                <w:szCs w:val="22"/>
              </w:rPr>
            </w:pPr>
          </w:p>
        </w:tc>
      </w:tr>
      <w:tr w:rsidR="009A7CDE" w:rsidTr="00BA75A8"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Storage</w:t>
            </w:r>
          </w:p>
        </w:tc>
        <w:tc>
          <w:tcPr>
            <w:tcW w:w="7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Store in a cool location.</w:t>
            </w:r>
          </w:p>
          <w:p w:rsidR="009A7CDE" w:rsidRDefault="009A7CDE" w:rsidP="00B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Store away from foodstuffs.</w:t>
            </w:r>
          </w:p>
          <w:p w:rsidR="009A7CDE" w:rsidRDefault="009A7CDE" w:rsidP="00B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Keep container tightly sealed.</w:t>
            </w:r>
          </w:p>
          <w:p w:rsidR="009A7CDE" w:rsidRDefault="009A7CDE" w:rsidP="00BA7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Store in cool, dry conditions in well sealed receptacles.</w:t>
            </w:r>
          </w:p>
        </w:tc>
      </w:tr>
    </w:tbl>
    <w:p w:rsidR="009A7CDE" w:rsidRDefault="009A7CDE" w:rsidP="009A7CDE">
      <w:pPr>
        <w:pStyle w:val="TextBody"/>
      </w:pPr>
    </w:p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t>8. Exposure Controls and Personal Protection</w:t>
      </w:r>
    </w:p>
    <w:p w:rsidR="009A7CDE" w:rsidRDefault="009A7CDE" w:rsidP="009A7CDE">
      <w:pPr>
        <w:pStyle w:val="TextBody"/>
      </w:pPr>
      <w:r>
        <w:t>Safe Work Australia has set the following workplace exposure standards:</w:t>
      </w:r>
    </w:p>
    <w:p w:rsidR="0048001C" w:rsidRPr="0048001C" w:rsidRDefault="0048001C" w:rsidP="009A7CDE">
      <w:pPr>
        <w:pStyle w:val="TextBody"/>
        <w:rPr>
          <w:b/>
        </w:rPr>
      </w:pPr>
      <w:r w:rsidRPr="0048001C">
        <w:rPr>
          <w:rFonts w:eastAsiaTheme="minorHAnsi" w:cs="Times New Roman"/>
          <w:b/>
          <w:bCs/>
          <w:iCs/>
          <w:sz w:val="20"/>
          <w:szCs w:val="20"/>
          <w:lang w:eastAsia="en-US" w:bidi="ar-SA"/>
        </w:rPr>
        <w:t>Ingredients with limit values that require monitoring at the workplace: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0"/>
        <w:gridCol w:w="759"/>
        <w:gridCol w:w="831"/>
        <w:gridCol w:w="445"/>
        <w:gridCol w:w="905"/>
        <w:gridCol w:w="1530"/>
        <w:gridCol w:w="8"/>
        <w:gridCol w:w="1522"/>
        <w:gridCol w:w="713"/>
        <w:gridCol w:w="1222"/>
        <w:gridCol w:w="53"/>
      </w:tblGrid>
      <w:tr w:rsidR="009A7CDE" w:rsidTr="00E526EF">
        <w:trPr>
          <w:gridAfter w:val="1"/>
          <w:wAfter w:w="53" w:type="dxa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Chemical Name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CAS Number</w:t>
            </w:r>
          </w:p>
        </w:tc>
        <w:tc>
          <w:tcPr>
            <w:tcW w:w="13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TWA (ppm)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TWA (mg/m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STEL (ppm)</w:t>
            </w:r>
          </w:p>
        </w:tc>
        <w:tc>
          <w:tcPr>
            <w:tcW w:w="1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STEL (mg/m</w:t>
            </w:r>
            <w:r>
              <w:rPr>
                <w:b/>
                <w:bCs/>
                <w:vertAlign w:val="superscript"/>
              </w:rPr>
              <w:t>3</w:t>
            </w:r>
            <w:r>
              <w:rPr>
                <w:b/>
                <w:bCs/>
              </w:rPr>
              <w:t>)</w:t>
            </w:r>
          </w:p>
        </w:tc>
      </w:tr>
      <w:tr w:rsidR="009A7CDE" w:rsidTr="00E526EF">
        <w:trPr>
          <w:gridAfter w:val="1"/>
          <w:wAfter w:w="53" w:type="dxa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EA134D" w:rsidP="00BA75A8">
            <w:pPr>
              <w:pStyle w:val="TableContents"/>
            </w:pPr>
            <w:r>
              <w:t>Void</w:t>
            </w:r>
          </w:p>
        </w:tc>
        <w:tc>
          <w:tcPr>
            <w:tcW w:w="15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</w:p>
        </w:tc>
        <w:tc>
          <w:tcPr>
            <w:tcW w:w="15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-</w:t>
            </w:r>
          </w:p>
        </w:tc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-</w:t>
            </w:r>
          </w:p>
        </w:tc>
      </w:tr>
      <w:tr w:rsidR="009A7CDE" w:rsidTr="00E526EF">
        <w:trPr>
          <w:gridAfter w:val="1"/>
          <w:wAfter w:w="53" w:type="dxa"/>
          <w:trHeight w:val="161"/>
        </w:trPr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EA134D" w:rsidP="00BA75A8">
            <w:pPr>
              <w:pStyle w:val="TableContents"/>
            </w:pPr>
            <w:r>
              <w:t>Void</w:t>
            </w:r>
          </w:p>
        </w:tc>
        <w:tc>
          <w:tcPr>
            <w:tcW w:w="15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</w:p>
        </w:tc>
        <w:tc>
          <w:tcPr>
            <w:tcW w:w="135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</w:p>
        </w:tc>
        <w:tc>
          <w:tcPr>
            <w:tcW w:w="15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</w:p>
        </w:tc>
        <w:tc>
          <w:tcPr>
            <w:tcW w:w="19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</w:p>
        </w:tc>
      </w:tr>
      <w:tr w:rsidR="009B330D" w:rsidTr="00924B4A"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330D" w:rsidRDefault="009B330D" w:rsidP="00924B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Chemical Name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B330D" w:rsidRDefault="009B330D" w:rsidP="00924B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CAS Number</w:t>
            </w:r>
          </w:p>
        </w:tc>
        <w:tc>
          <w:tcPr>
            <w:tcW w:w="24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B330D" w:rsidRPr="006631FE" w:rsidRDefault="00DD0DB6" w:rsidP="00924B4A">
            <w:pPr>
              <w:pStyle w:val="TableContents"/>
              <w:rPr>
                <w:b/>
                <w:bCs/>
              </w:rPr>
            </w:pPr>
            <w:r>
              <w:rPr>
                <w:rFonts w:eastAsiaTheme="minorHAnsi" w:cs="Times New Roman"/>
                <w:b/>
                <w:iCs/>
                <w:sz w:val="24"/>
                <w:lang w:eastAsia="en-US" w:bidi="ar-SA"/>
              </w:rPr>
              <w:t>WEL</w:t>
            </w:r>
            <w:r w:rsidR="009B330D" w:rsidRPr="006631FE">
              <w:rPr>
                <w:rFonts w:eastAsiaTheme="minorHAnsi" w:cs="Times New Roman"/>
                <w:b/>
                <w:iCs/>
                <w:sz w:val="24"/>
                <w:lang w:eastAsia="en-US" w:bidi="ar-SA"/>
              </w:rPr>
              <w:t>.</w:t>
            </w:r>
            <w:r w:rsidR="006631FE">
              <w:rPr>
                <w:rFonts w:eastAsiaTheme="minorHAnsi" w:cs="Times New Roman"/>
                <w:b/>
                <w:iCs/>
                <w:sz w:val="24"/>
                <w:lang w:eastAsia="en-US" w:bidi="ar-SA"/>
              </w:rPr>
              <w:t xml:space="preserve"> </w:t>
            </w:r>
            <w:r w:rsidR="009B330D" w:rsidRPr="006631FE">
              <w:rPr>
                <w:rFonts w:eastAsiaTheme="minorHAnsi" w:cs="Times New Roman"/>
                <w:b/>
                <w:iCs/>
                <w:sz w:val="24"/>
                <w:lang w:eastAsia="en-US" w:bidi="ar-SA"/>
              </w:rPr>
              <w:t>Short-term value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</w:tcPr>
          <w:p w:rsidR="009B330D" w:rsidRPr="006631FE" w:rsidRDefault="00DD0DB6" w:rsidP="00924B4A">
            <w:pPr>
              <w:pStyle w:val="TableContents"/>
              <w:rPr>
                <w:b/>
                <w:bCs/>
              </w:rPr>
            </w:pPr>
            <w:r>
              <w:rPr>
                <w:rFonts w:eastAsiaTheme="minorHAnsi" w:cs="Times New Roman"/>
                <w:b/>
                <w:iCs/>
                <w:sz w:val="24"/>
                <w:lang w:eastAsia="en-US" w:bidi="ar-SA"/>
              </w:rPr>
              <w:t>WEL</w:t>
            </w:r>
            <w:r w:rsidR="006631FE">
              <w:rPr>
                <w:rFonts w:eastAsiaTheme="minorHAnsi" w:cs="Times New Roman"/>
                <w:b/>
                <w:iCs/>
                <w:sz w:val="24"/>
                <w:lang w:eastAsia="en-US" w:bidi="ar-SA"/>
              </w:rPr>
              <w:t xml:space="preserve">. </w:t>
            </w:r>
            <w:r w:rsidR="009B330D" w:rsidRPr="006631FE">
              <w:rPr>
                <w:rFonts w:eastAsiaTheme="minorHAnsi" w:cs="Times New Roman"/>
                <w:b/>
                <w:iCs/>
                <w:sz w:val="24"/>
                <w:lang w:eastAsia="en-US" w:bidi="ar-SA"/>
              </w:rPr>
              <w:t>Long-term value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B330D" w:rsidRDefault="009B330D" w:rsidP="00924B4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Proportion</w:t>
            </w:r>
          </w:p>
        </w:tc>
      </w:tr>
    </w:tbl>
    <w:p w:rsidR="00A95277" w:rsidRDefault="00A95277" w:rsidP="00EA134D">
      <w:pPr>
        <w:widowControl/>
        <w:suppressAutoHyphens w:val="0"/>
        <w:autoSpaceDE w:val="0"/>
        <w:autoSpaceDN w:val="0"/>
        <w:adjustRightInd w:val="0"/>
        <w:rPr>
          <w:rFonts w:cs="Times New Roman"/>
          <w:iCs/>
          <w:sz w:val="22"/>
          <w:szCs w:val="22"/>
          <w:lang w:bidi="ar-SA"/>
        </w:rPr>
      </w:pPr>
    </w:p>
    <w:p w:rsidR="00EA134D" w:rsidRPr="00F94735" w:rsidRDefault="00EA134D" w:rsidP="00EA134D">
      <w:pPr>
        <w:widowControl/>
        <w:suppressAutoHyphens w:val="0"/>
        <w:autoSpaceDE w:val="0"/>
        <w:autoSpaceDN w:val="0"/>
        <w:adjustRightInd w:val="0"/>
        <w:rPr>
          <w:rFonts w:cs="Times New Roman"/>
          <w:iCs/>
          <w:sz w:val="22"/>
          <w:szCs w:val="22"/>
          <w:lang w:bidi="ar-SA"/>
        </w:rPr>
      </w:pPr>
      <w:r w:rsidRPr="00F94735">
        <w:rPr>
          <w:rFonts w:cs="Times New Roman"/>
          <w:iCs/>
          <w:sz w:val="22"/>
          <w:szCs w:val="22"/>
          <w:lang w:bidi="ar-SA"/>
        </w:rPr>
        <w:t>The product does not contain any relevant quantities of materials with critical values that have to be</w:t>
      </w:r>
    </w:p>
    <w:p w:rsidR="00EA134D" w:rsidRPr="00F94735" w:rsidRDefault="00EA134D" w:rsidP="00EA134D">
      <w:pPr>
        <w:pStyle w:val="TextBody"/>
        <w:rPr>
          <w:rFonts w:cs="Times New Roman"/>
          <w:iCs/>
          <w:sz w:val="22"/>
          <w:szCs w:val="22"/>
          <w:lang w:bidi="ar-SA"/>
        </w:rPr>
      </w:pPr>
      <w:r w:rsidRPr="00F94735">
        <w:rPr>
          <w:rFonts w:cs="Times New Roman"/>
          <w:iCs/>
          <w:sz w:val="22"/>
          <w:szCs w:val="22"/>
          <w:lang w:bidi="ar-SA"/>
        </w:rPr>
        <w:t>monitored at the workplace.</w:t>
      </w:r>
    </w:p>
    <w:p w:rsidR="00EA134D" w:rsidRDefault="00EA134D" w:rsidP="009A7CDE">
      <w:pPr>
        <w:pStyle w:val="TextBody"/>
      </w:pPr>
    </w:p>
    <w:p w:rsidR="009A7CDE" w:rsidRDefault="009A7CDE" w:rsidP="009A7CDE">
      <w:pPr>
        <w:pStyle w:val="TextBody"/>
        <w:rPr>
          <w:b/>
          <w:bCs/>
        </w:rPr>
      </w:pPr>
      <w:r>
        <w:rPr>
          <w:b/>
          <w:bCs/>
        </w:rPr>
        <w:t>Personal Protective Equipment:</w:t>
      </w:r>
    </w:p>
    <w:p w:rsidR="00EA134D" w:rsidRDefault="009A7CDE" w:rsidP="009A7CD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· </w:t>
      </w:r>
      <w:r>
        <w:rPr>
          <w:b/>
          <w:sz w:val="22"/>
          <w:szCs w:val="22"/>
        </w:rPr>
        <w:t xml:space="preserve">General protective and hygienic measures: </w:t>
      </w:r>
    </w:p>
    <w:p w:rsidR="009A7CDE" w:rsidRDefault="009A7CDE" w:rsidP="009A7CDE">
      <w:pPr>
        <w:rPr>
          <w:sz w:val="22"/>
          <w:szCs w:val="22"/>
        </w:rPr>
      </w:pPr>
      <w:r>
        <w:rPr>
          <w:sz w:val="22"/>
          <w:szCs w:val="22"/>
        </w:rPr>
        <w:t>Wash hands before breaks and at the end of work.</w:t>
      </w:r>
    </w:p>
    <w:p w:rsidR="0048001C" w:rsidRDefault="0048001C" w:rsidP="009A7CDE">
      <w:pPr>
        <w:rPr>
          <w:rFonts w:eastAsiaTheme="minorHAnsi" w:cs="Times New Roman"/>
          <w:iCs/>
          <w:sz w:val="22"/>
          <w:szCs w:val="22"/>
          <w:lang w:eastAsia="en-US" w:bidi="ar-SA"/>
        </w:rPr>
      </w:pPr>
      <w:r w:rsidRPr="0048001C">
        <w:rPr>
          <w:rFonts w:eastAsiaTheme="minorHAnsi" w:cs="Times New Roman"/>
          <w:iCs/>
          <w:sz w:val="22"/>
          <w:szCs w:val="22"/>
          <w:lang w:eastAsia="en-US" w:bidi="ar-SA"/>
        </w:rPr>
        <w:t>Immediately remove all soiled and contaminated clothing</w:t>
      </w:r>
    </w:p>
    <w:p w:rsidR="000B1F16" w:rsidRPr="0048001C" w:rsidRDefault="000B1F16" w:rsidP="009A7CDE">
      <w:pPr>
        <w:rPr>
          <w:sz w:val="22"/>
          <w:szCs w:val="22"/>
        </w:rPr>
      </w:pPr>
      <w:r w:rsidRPr="000B1F16">
        <w:rPr>
          <w:sz w:val="22"/>
          <w:szCs w:val="22"/>
        </w:rPr>
        <w:t>Do not eat or drink while working.</w:t>
      </w:r>
    </w:p>
    <w:p w:rsidR="00EA134D" w:rsidRDefault="009A7CDE" w:rsidP="009A7CD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· </w:t>
      </w:r>
      <w:r>
        <w:rPr>
          <w:b/>
          <w:sz w:val="22"/>
          <w:szCs w:val="22"/>
        </w:rPr>
        <w:t xml:space="preserve">Respiratory protection: </w:t>
      </w:r>
    </w:p>
    <w:p w:rsidR="009A7CDE" w:rsidRDefault="009A7CDE" w:rsidP="009A7CDE">
      <w:pPr>
        <w:rPr>
          <w:sz w:val="22"/>
          <w:szCs w:val="22"/>
        </w:rPr>
      </w:pPr>
      <w:r>
        <w:rPr>
          <w:sz w:val="22"/>
          <w:szCs w:val="22"/>
        </w:rPr>
        <w:t>Not necessary if room is well-ventilated.</w:t>
      </w:r>
    </w:p>
    <w:p w:rsidR="00EA134D" w:rsidRDefault="009A7CDE" w:rsidP="009A7CD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· </w:t>
      </w:r>
      <w:r>
        <w:rPr>
          <w:b/>
          <w:sz w:val="22"/>
          <w:szCs w:val="22"/>
        </w:rPr>
        <w:t>Protection of hands:</w:t>
      </w:r>
    </w:p>
    <w:p w:rsidR="009A7CDE" w:rsidRPr="00EA134D" w:rsidRDefault="00EA134D" w:rsidP="009A7C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A7CDE">
        <w:rPr>
          <w:sz w:val="22"/>
          <w:szCs w:val="22"/>
        </w:rPr>
        <w:t>The glove material has to be impermeable and resistant to the product/ the substance/ the preparation.</w:t>
      </w:r>
      <w:r>
        <w:rPr>
          <w:sz w:val="22"/>
          <w:szCs w:val="22"/>
        </w:rPr>
        <w:t xml:space="preserve"> </w:t>
      </w:r>
      <w:r w:rsidR="009A7CDE">
        <w:rPr>
          <w:sz w:val="22"/>
          <w:szCs w:val="22"/>
        </w:rPr>
        <w:t>Due to missing tests no recommendation to the glove material can be given for the product/ the preparation/the chemical mixture.</w:t>
      </w:r>
      <w:r>
        <w:rPr>
          <w:sz w:val="22"/>
          <w:szCs w:val="22"/>
        </w:rPr>
        <w:t xml:space="preserve"> </w:t>
      </w:r>
      <w:r w:rsidR="009A7CDE">
        <w:rPr>
          <w:sz w:val="22"/>
          <w:szCs w:val="22"/>
        </w:rPr>
        <w:t>Selection of the glove material on consideration of the penetration times, rates of diffusion and the</w:t>
      </w:r>
      <w:r>
        <w:rPr>
          <w:b/>
          <w:sz w:val="22"/>
          <w:szCs w:val="22"/>
        </w:rPr>
        <w:t xml:space="preserve"> </w:t>
      </w:r>
      <w:r w:rsidR="009A7CDE">
        <w:rPr>
          <w:sz w:val="22"/>
          <w:szCs w:val="22"/>
        </w:rPr>
        <w:t>degradation</w:t>
      </w:r>
      <w:r>
        <w:rPr>
          <w:sz w:val="22"/>
          <w:szCs w:val="22"/>
        </w:rPr>
        <w:t>.</w:t>
      </w:r>
    </w:p>
    <w:p w:rsidR="009A7CDE" w:rsidRDefault="009A7CDE" w:rsidP="009A7CD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· </w:t>
      </w:r>
      <w:r>
        <w:rPr>
          <w:b/>
          <w:sz w:val="22"/>
          <w:szCs w:val="22"/>
        </w:rPr>
        <w:t>Material of gloves</w:t>
      </w:r>
    </w:p>
    <w:p w:rsidR="009A7CDE" w:rsidRDefault="009A7CDE" w:rsidP="009A7CDE">
      <w:pPr>
        <w:rPr>
          <w:sz w:val="22"/>
          <w:szCs w:val="22"/>
        </w:rPr>
      </w:pPr>
      <w:r>
        <w:rPr>
          <w:sz w:val="22"/>
          <w:szCs w:val="22"/>
        </w:rPr>
        <w:t>The selection of the suitable gloves does not only depend on the material, but also on further marks of quality and varies from manufacturer to manufacturer.</w:t>
      </w:r>
    </w:p>
    <w:p w:rsidR="009A7CDE" w:rsidRDefault="009A7CDE" w:rsidP="009A7CD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· </w:t>
      </w:r>
      <w:r>
        <w:rPr>
          <w:b/>
          <w:sz w:val="22"/>
          <w:szCs w:val="22"/>
        </w:rPr>
        <w:t>Penetration time of glove material: Not necessary</w:t>
      </w:r>
    </w:p>
    <w:p w:rsidR="009A7CDE" w:rsidRDefault="009A7CDE" w:rsidP="009A7CDE">
      <w:pPr>
        <w:rPr>
          <w:sz w:val="22"/>
          <w:szCs w:val="22"/>
        </w:rPr>
      </w:pPr>
      <w:r>
        <w:rPr>
          <w:sz w:val="22"/>
          <w:szCs w:val="22"/>
        </w:rPr>
        <w:t xml:space="preserve">· </w:t>
      </w:r>
      <w:r>
        <w:rPr>
          <w:b/>
          <w:sz w:val="22"/>
          <w:szCs w:val="22"/>
        </w:rPr>
        <w:t>Eye protection: Not necessary</w:t>
      </w:r>
    </w:p>
    <w:p w:rsidR="009A7CDE" w:rsidRDefault="009A7CDE" w:rsidP="009A7CDE">
      <w:pPr>
        <w:rPr>
          <w:sz w:val="22"/>
          <w:szCs w:val="22"/>
        </w:rPr>
      </w:pPr>
    </w:p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t>9. Physical and Chemical Properties</w:t>
      </w:r>
    </w:p>
    <w:p w:rsidR="009A7CDE" w:rsidRDefault="009A7CDE" w:rsidP="009A7CDE">
      <w:pPr>
        <w:pStyle w:val="TextBody"/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7485"/>
      </w:tblGrid>
      <w:tr w:rsidR="009A7CDE" w:rsidTr="00BA75A8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Appearance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AD5989" w:rsidP="00BA75A8">
            <w:pPr>
              <w:pStyle w:val="TableContents"/>
            </w:pPr>
            <w:r>
              <w:t>Solid</w:t>
            </w:r>
          </w:p>
        </w:tc>
      </w:tr>
      <w:tr w:rsidR="009A7CDE" w:rsidTr="00BA75A8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Odour</w:t>
            </w:r>
          </w:p>
        </w:tc>
        <w:tc>
          <w:tcPr>
            <w:tcW w:w="7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Characteristic</w:t>
            </w:r>
          </w:p>
        </w:tc>
      </w:tr>
      <w:tr w:rsidR="009A7CDE" w:rsidTr="00BA75A8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Melting Point</w:t>
            </w:r>
          </w:p>
        </w:tc>
        <w:tc>
          <w:tcPr>
            <w:tcW w:w="7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Undetermined</w:t>
            </w:r>
          </w:p>
        </w:tc>
      </w:tr>
      <w:tr w:rsidR="009A7CDE" w:rsidTr="00BA75A8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Boiling Point</w:t>
            </w:r>
          </w:p>
        </w:tc>
        <w:tc>
          <w:tcPr>
            <w:tcW w:w="7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Not determined</w:t>
            </w:r>
          </w:p>
        </w:tc>
      </w:tr>
      <w:tr w:rsidR="009A7CDE" w:rsidTr="00BA75A8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Flash Point</w:t>
            </w:r>
          </w:p>
        </w:tc>
        <w:tc>
          <w:tcPr>
            <w:tcW w:w="7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Not determined</w:t>
            </w:r>
          </w:p>
        </w:tc>
      </w:tr>
      <w:tr w:rsidR="009A7CDE" w:rsidTr="00BA75A8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Ignition Point</w:t>
            </w:r>
          </w:p>
        </w:tc>
        <w:tc>
          <w:tcPr>
            <w:tcW w:w="7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Product is not self-igniting</w:t>
            </w:r>
          </w:p>
        </w:tc>
      </w:tr>
      <w:tr w:rsidR="009A7CDE" w:rsidTr="00BA75A8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Danger of explosion</w:t>
            </w:r>
          </w:p>
        </w:tc>
        <w:tc>
          <w:tcPr>
            <w:tcW w:w="7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 xml:space="preserve">Product is not explosive. However, </w:t>
            </w:r>
            <w:r w:rsidR="0048001C">
              <w:t>formations of explosive air/vapour mixtures are</w:t>
            </w:r>
            <w:r w:rsidR="00DB63A6">
              <w:t xml:space="preserve"> possible.</w:t>
            </w:r>
          </w:p>
        </w:tc>
      </w:tr>
      <w:tr w:rsidR="009A7CDE" w:rsidTr="00BA75A8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Explosion Limits</w:t>
            </w:r>
          </w:p>
        </w:tc>
        <w:tc>
          <w:tcPr>
            <w:tcW w:w="7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No explosion hazard</w:t>
            </w:r>
          </w:p>
        </w:tc>
      </w:tr>
      <w:tr w:rsidR="009A7CDE" w:rsidTr="00BA75A8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Vapour Pressure at 20°C</w:t>
            </w:r>
          </w:p>
        </w:tc>
        <w:tc>
          <w:tcPr>
            <w:tcW w:w="7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B315CA" w:rsidP="00BA75A8">
            <w:pPr>
              <w:pStyle w:val="TableContents"/>
            </w:pPr>
            <w:r>
              <w:rPr>
                <w:sz w:val="20"/>
                <w:szCs w:val="20"/>
              </w:rPr>
              <w:t>N/A</w:t>
            </w:r>
          </w:p>
        </w:tc>
      </w:tr>
      <w:tr w:rsidR="009A7CDE" w:rsidTr="00BA75A8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Density at 20°C</w:t>
            </w:r>
          </w:p>
        </w:tc>
        <w:tc>
          <w:tcPr>
            <w:tcW w:w="7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B315CA" w:rsidP="00BA75A8">
            <w:pPr>
              <w:pStyle w:val="TableContents"/>
              <w:rPr>
                <w:vertAlign w:val="superscript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9A7CDE" w:rsidTr="00BA75A8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Solubility / Miscibility with water</w:t>
            </w:r>
          </w:p>
        </w:tc>
        <w:tc>
          <w:tcPr>
            <w:tcW w:w="7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Soluble</w:t>
            </w:r>
          </w:p>
        </w:tc>
      </w:tr>
      <w:tr w:rsidR="009A7CDE" w:rsidTr="00BA75A8"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Solvent Contents</w:t>
            </w:r>
          </w:p>
        </w:tc>
        <w:tc>
          <w:tcPr>
            <w:tcW w:w="7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BD6394" w:rsidP="00BA75A8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</w:tbl>
    <w:p w:rsidR="009A7CDE" w:rsidRDefault="009A7CDE" w:rsidP="009A7CDE">
      <w:pPr>
        <w:pStyle w:val="TextBody"/>
        <w:rPr>
          <w:sz w:val="20"/>
          <w:szCs w:val="20"/>
        </w:rPr>
      </w:pPr>
    </w:p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lastRenderedPageBreak/>
        <w:t>10. Stability and Reactivity</w:t>
      </w:r>
    </w:p>
    <w:p w:rsidR="009A7CDE" w:rsidRDefault="009A7CDE" w:rsidP="009A7CD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Thermal decomposition / conditions to be avoided: </w:t>
      </w:r>
      <w:r>
        <w:rPr>
          <w:sz w:val="22"/>
          <w:szCs w:val="22"/>
        </w:rPr>
        <w:t>No decomposition if used according to specifications</w:t>
      </w:r>
    </w:p>
    <w:p w:rsidR="009A7CDE" w:rsidRDefault="009A7CDE" w:rsidP="009A7CD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Dangerous reactions: </w:t>
      </w:r>
      <w:r w:rsidR="00D728A2">
        <w:rPr>
          <w:sz w:val="22"/>
          <w:szCs w:val="22"/>
        </w:rPr>
        <w:t>No dangerous reactions known</w:t>
      </w:r>
    </w:p>
    <w:p w:rsidR="009A7CDE" w:rsidRDefault="009A7CDE" w:rsidP="009A7CD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Dangerous decomposition products: </w:t>
      </w:r>
      <w:r w:rsidR="00D728A2">
        <w:rPr>
          <w:sz w:val="22"/>
          <w:szCs w:val="22"/>
        </w:rPr>
        <w:t>No dangerous decomposition products known.</w:t>
      </w:r>
    </w:p>
    <w:p w:rsidR="009A7CDE" w:rsidRDefault="009A7CDE" w:rsidP="009A7CDE">
      <w:pPr>
        <w:pStyle w:val="TextBody"/>
        <w:rPr>
          <w:sz w:val="20"/>
          <w:szCs w:val="20"/>
        </w:rPr>
      </w:pPr>
    </w:p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t>11. Toxicological Information</w:t>
      </w:r>
    </w:p>
    <w:p w:rsidR="009A7CDE" w:rsidRDefault="009A7CDE" w:rsidP="009A7CDE">
      <w:pPr>
        <w:pStyle w:val="TextBody"/>
        <w:rPr>
          <w:sz w:val="22"/>
          <w:szCs w:val="22"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3120"/>
        <w:gridCol w:w="2430"/>
      </w:tblGrid>
      <w:tr w:rsidR="009A7CDE" w:rsidTr="00BA75A8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Oral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None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</w:p>
        </w:tc>
      </w:tr>
      <w:tr w:rsidR="009A7CDE" w:rsidTr="00BA75A8"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Inhaled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None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</w:p>
        </w:tc>
      </w:tr>
      <w:tr w:rsidR="009A7CDE" w:rsidTr="00BA75A8"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Skin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No irritant effect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</w:p>
        </w:tc>
      </w:tr>
      <w:tr w:rsidR="009A7CDE" w:rsidTr="00BA75A8"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Eyes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Irritating to eyes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</w:p>
        </w:tc>
      </w:tr>
      <w:tr w:rsidR="009A7CDE" w:rsidTr="00BA75A8"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Sensitisation</w:t>
            </w:r>
          </w:p>
        </w:tc>
        <w:tc>
          <w:tcPr>
            <w:tcW w:w="31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t>No sensitisation effects known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  <w:rPr>
                <w:szCs w:val="22"/>
              </w:rPr>
            </w:pPr>
          </w:p>
        </w:tc>
      </w:tr>
    </w:tbl>
    <w:p w:rsidR="009A7CDE" w:rsidRDefault="009A7CDE" w:rsidP="009A7CDE">
      <w:pPr>
        <w:pStyle w:val="TextBody"/>
        <w:rPr>
          <w:sz w:val="22"/>
          <w:szCs w:val="22"/>
        </w:rPr>
      </w:pPr>
    </w:p>
    <w:p w:rsidR="009A7CDE" w:rsidRDefault="009A7CDE" w:rsidP="009A7CDE">
      <w:pPr>
        <w:pStyle w:val="Heading1"/>
        <w:keepLines/>
        <w:numPr>
          <w:ilvl w:val="0"/>
          <w:numId w:val="1"/>
        </w:numPr>
        <w:ind w:left="420" w:hanging="433"/>
      </w:pPr>
      <w:r>
        <w:t>12. Ecological Information</w:t>
      </w:r>
    </w:p>
    <w:p w:rsidR="009A7CDE" w:rsidRDefault="002275EE" w:rsidP="0089684E">
      <w:pPr>
        <w:pStyle w:val="NoSpacing"/>
      </w:pPr>
      <w:r>
        <w:t>Persiste</w:t>
      </w:r>
      <w:r w:rsidR="009A7CDE">
        <w:t>nce and Degradability:</w:t>
      </w:r>
    </w:p>
    <w:p w:rsidR="002275EE" w:rsidRPr="001C7D58" w:rsidRDefault="002275EE" w:rsidP="0089684E">
      <w:pPr>
        <w:pStyle w:val="NoSpacing"/>
        <w:numPr>
          <w:ilvl w:val="0"/>
          <w:numId w:val="4"/>
        </w:numPr>
        <w:rPr>
          <w:rFonts w:ascii="Times-Italic" w:eastAsiaTheme="minorHAnsi" w:hAnsi="Times-Italic" w:cs="Times-Italic"/>
          <w:iCs/>
          <w:szCs w:val="24"/>
          <w:lang w:eastAsia="en-US" w:bidi="ar-SA"/>
        </w:rPr>
      </w:pPr>
      <w:r w:rsidRPr="001C7D58">
        <w:rPr>
          <w:rFonts w:ascii="Times-Italic" w:eastAsiaTheme="minorHAnsi" w:hAnsi="Times-Italic" w:cs="Times-Italic"/>
          <w:iCs/>
          <w:szCs w:val="24"/>
          <w:lang w:eastAsia="en-US" w:bidi="ar-SA"/>
        </w:rPr>
        <w:t>Negative ecological effects are, according to the current state of knowledge, not expected.</w:t>
      </w:r>
    </w:p>
    <w:p w:rsidR="002275EE" w:rsidRPr="001C7D58" w:rsidRDefault="002275EE" w:rsidP="0089684E">
      <w:pPr>
        <w:pStyle w:val="NoSpacing"/>
        <w:numPr>
          <w:ilvl w:val="0"/>
          <w:numId w:val="4"/>
        </w:numPr>
        <w:rPr>
          <w:rFonts w:ascii="Times-Italic" w:eastAsiaTheme="minorHAnsi" w:hAnsi="Times-Italic" w:cs="Times-Italic"/>
          <w:iCs/>
          <w:szCs w:val="24"/>
          <w:lang w:eastAsia="en-US" w:bidi="ar-SA"/>
        </w:rPr>
      </w:pPr>
      <w:r w:rsidRPr="001C7D58">
        <w:rPr>
          <w:rFonts w:ascii="Times-Italic" w:eastAsiaTheme="minorHAnsi" w:hAnsi="Times-Italic" w:cs="Times-Italic"/>
          <w:iCs/>
          <w:szCs w:val="24"/>
          <w:lang w:eastAsia="en-US" w:bidi="ar-SA"/>
        </w:rPr>
        <w:t xml:space="preserve">Due to available data on eliminability/decomposition and bioaccumulation </w:t>
      </w:r>
      <w:r>
        <w:rPr>
          <w:rFonts w:ascii="Times-Italic" w:eastAsiaTheme="minorHAnsi" w:hAnsi="Times-Italic" w:cs="Times-Italic"/>
          <w:iCs/>
          <w:lang w:eastAsia="en-US" w:bidi="ar-SA"/>
        </w:rPr>
        <w:t xml:space="preserve">potential a prolonged damage of </w:t>
      </w:r>
      <w:r w:rsidRPr="001C7D58">
        <w:rPr>
          <w:rFonts w:ascii="Times-Italic" w:eastAsiaTheme="minorHAnsi" w:hAnsi="Times-Italic" w:cs="Times-Italic"/>
          <w:iCs/>
          <w:szCs w:val="24"/>
          <w:lang w:eastAsia="en-US" w:bidi="ar-SA"/>
        </w:rPr>
        <w:t xml:space="preserve">the environment is unlikely. </w:t>
      </w:r>
    </w:p>
    <w:p w:rsidR="002275EE" w:rsidRPr="001C7D58" w:rsidRDefault="002275EE" w:rsidP="0089684E">
      <w:pPr>
        <w:pStyle w:val="NoSpacing"/>
        <w:numPr>
          <w:ilvl w:val="0"/>
          <w:numId w:val="4"/>
        </w:numPr>
        <w:rPr>
          <w:rFonts w:ascii="Times-Italic" w:eastAsiaTheme="minorHAnsi" w:hAnsi="Times-Italic" w:cs="Times-Italic"/>
          <w:iCs/>
          <w:szCs w:val="24"/>
          <w:lang w:eastAsia="en-US" w:bidi="ar-SA"/>
        </w:rPr>
      </w:pPr>
      <w:r w:rsidRPr="001C7D58">
        <w:rPr>
          <w:rFonts w:ascii="Times-Italic" w:eastAsiaTheme="minorHAnsi" w:hAnsi="Times-Italic" w:cs="Times-Italic"/>
          <w:iCs/>
          <w:szCs w:val="24"/>
          <w:lang w:eastAsia="en-US" w:bidi="ar-SA"/>
        </w:rPr>
        <w:t xml:space="preserve">At present there are no </w:t>
      </w:r>
      <w:r w:rsidR="000B1F16" w:rsidRPr="001C7D58">
        <w:rPr>
          <w:rFonts w:ascii="Times-Italic" w:eastAsiaTheme="minorHAnsi" w:hAnsi="Times-Italic" w:cs="Times-Italic"/>
          <w:iCs/>
          <w:szCs w:val="24"/>
          <w:lang w:eastAsia="en-US" w:bidi="ar-SA"/>
        </w:rPr>
        <w:t>Eco toxicological</w:t>
      </w:r>
      <w:r w:rsidRPr="001C7D58">
        <w:rPr>
          <w:rFonts w:ascii="Times-Italic" w:eastAsiaTheme="minorHAnsi" w:hAnsi="Times-Italic" w:cs="Times-Italic"/>
          <w:iCs/>
          <w:szCs w:val="24"/>
          <w:lang w:eastAsia="en-US" w:bidi="ar-SA"/>
        </w:rPr>
        <w:t xml:space="preserve"> assessments.</w:t>
      </w:r>
    </w:p>
    <w:p w:rsidR="002275EE" w:rsidRDefault="002275EE" w:rsidP="0089684E">
      <w:pPr>
        <w:pStyle w:val="NoSpacing"/>
      </w:pPr>
    </w:p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t>13. Disposal Considerations</w:t>
      </w:r>
    </w:p>
    <w:p w:rsidR="0089684E" w:rsidRDefault="009A7CDE" w:rsidP="0089684E">
      <w:pPr>
        <w:pStyle w:val="NoSpacing"/>
        <w:rPr>
          <w:lang w:eastAsia="en-US" w:bidi="ar-SA"/>
        </w:rPr>
      </w:pPr>
      <w:r>
        <w:t>Disposal Methods:</w:t>
      </w:r>
      <w:r>
        <w:br/>
      </w:r>
      <w:r w:rsidR="0089684E">
        <w:rPr>
          <w:lang w:eastAsia="en-US" w:bidi="ar-SA"/>
        </w:rPr>
        <w:t>-Smaller quantities can be disposed of with household waste.</w:t>
      </w:r>
    </w:p>
    <w:p w:rsidR="009A7CDE" w:rsidRDefault="0089684E" w:rsidP="0089684E">
      <w:pPr>
        <w:pStyle w:val="NoSpacing"/>
      </w:pPr>
      <w:r>
        <w:t>-</w:t>
      </w:r>
      <w:r w:rsidR="009A7CDE">
        <w:t>Ensure waste disposal conforms to local waste disposal regulations.</w:t>
      </w:r>
    </w:p>
    <w:p w:rsidR="009A7CDE" w:rsidRDefault="009A7CDE" w:rsidP="009A7CDE">
      <w:pPr>
        <w:pStyle w:val="TextBody"/>
      </w:pPr>
    </w:p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t>14. Transport Information</w:t>
      </w:r>
    </w:p>
    <w:p w:rsidR="009A7CDE" w:rsidRDefault="009A7CDE" w:rsidP="009A7CDE">
      <w:pPr>
        <w:pStyle w:val="TextBody"/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6975"/>
      </w:tblGrid>
      <w:tr w:rsidR="009A7CDE" w:rsidTr="00BA75A8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UN Number</w:t>
            </w:r>
          </w:p>
        </w:tc>
        <w:tc>
          <w:tcPr>
            <w:tcW w:w="6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89684E" w:rsidP="00BA75A8">
            <w:pPr>
              <w:pStyle w:val="TableContents"/>
            </w:pPr>
            <w:r>
              <w:t>N/A</w:t>
            </w:r>
          </w:p>
        </w:tc>
      </w:tr>
      <w:tr w:rsidR="009A7CDE" w:rsidTr="00BA75A8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Proper Shipping Name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89684E" w:rsidP="00BA75A8">
            <w:pPr>
              <w:rPr>
                <w:sz w:val="22"/>
                <w:szCs w:val="22"/>
              </w:rPr>
            </w:pPr>
            <w:r>
              <w:t>N/A</w:t>
            </w:r>
          </w:p>
        </w:tc>
      </w:tr>
      <w:tr w:rsidR="009A7CDE" w:rsidTr="00BA75A8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Transport Hazard Class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89684E" w:rsidP="00BA75A8">
            <w:pPr>
              <w:pStyle w:val="TableContents"/>
            </w:pPr>
            <w:r>
              <w:t>N/A</w:t>
            </w:r>
          </w:p>
        </w:tc>
      </w:tr>
      <w:tr w:rsidR="009A7CDE" w:rsidTr="00BA75A8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Packing Group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89684E" w:rsidP="00BA75A8">
            <w:pPr>
              <w:pStyle w:val="TableContents"/>
            </w:pPr>
            <w:r>
              <w:t>N/A</w:t>
            </w:r>
          </w:p>
        </w:tc>
      </w:tr>
      <w:tr w:rsidR="009A7CDE" w:rsidTr="00BA75A8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Environmental Hazards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None</w:t>
            </w:r>
          </w:p>
        </w:tc>
      </w:tr>
      <w:tr w:rsidR="009A7CDE" w:rsidTr="00BA75A8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Special Precautions for user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89684E" w:rsidP="00BA75A8">
            <w:pPr>
              <w:pStyle w:val="TableContents"/>
            </w:pPr>
            <w:r>
              <w:t>N/A</w:t>
            </w:r>
          </w:p>
        </w:tc>
      </w:tr>
      <w:tr w:rsidR="009A7CDE" w:rsidTr="00BA75A8">
        <w:tc>
          <w:tcPr>
            <w:tcW w:w="26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Hazchem or Emergency Action Code</w:t>
            </w:r>
          </w:p>
        </w:tc>
        <w:tc>
          <w:tcPr>
            <w:tcW w:w="69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A7CDE" w:rsidRDefault="009A7CDE" w:rsidP="00BA75A8">
            <w:pPr>
              <w:pStyle w:val="TableContents"/>
            </w:pPr>
            <w:r>
              <w:t>None</w:t>
            </w:r>
          </w:p>
        </w:tc>
      </w:tr>
    </w:tbl>
    <w:p w:rsidR="009A7CDE" w:rsidRDefault="009A7CDE" w:rsidP="009A7CDE">
      <w:pPr>
        <w:pStyle w:val="TextBody"/>
      </w:pPr>
    </w:p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lastRenderedPageBreak/>
        <w:t>15. Regulatory Information</w:t>
      </w:r>
    </w:p>
    <w:p w:rsidR="009A7CDE" w:rsidRDefault="009A7CDE" w:rsidP="009A7CDE">
      <w:pPr>
        <w:pStyle w:val="TextBody"/>
      </w:pPr>
    </w:p>
    <w:tbl>
      <w:tblPr>
        <w:tblW w:w="1782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8175"/>
        <w:gridCol w:w="8175"/>
      </w:tblGrid>
      <w:tr w:rsidR="00230C1A" w:rsidTr="00230C1A"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30C1A" w:rsidRDefault="00230C1A" w:rsidP="00BA75A8">
            <w:pPr>
              <w:pStyle w:val="TableContents"/>
            </w:pPr>
            <w:r>
              <w:t>AICS</w:t>
            </w:r>
          </w:p>
        </w:tc>
        <w:tc>
          <w:tcPr>
            <w:tcW w:w="8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0C1A" w:rsidRDefault="00230C1A" w:rsidP="00EE0F68">
            <w:pPr>
              <w:pStyle w:val="TableContents"/>
            </w:pPr>
            <w:r>
              <w:t>All ingredients are listed on AICS</w:t>
            </w:r>
          </w:p>
        </w:tc>
        <w:tc>
          <w:tcPr>
            <w:tcW w:w="8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30C1A" w:rsidRDefault="00230C1A" w:rsidP="00BA75A8">
            <w:pPr>
              <w:pStyle w:val="TableContents"/>
            </w:pPr>
          </w:p>
        </w:tc>
      </w:tr>
    </w:tbl>
    <w:p w:rsidR="009A7CDE" w:rsidRDefault="009A7CDE" w:rsidP="009A7CDE">
      <w:pPr>
        <w:pStyle w:val="TextBody"/>
      </w:pPr>
    </w:p>
    <w:p w:rsidR="009A7CDE" w:rsidRDefault="009A7CDE" w:rsidP="009A7CDE">
      <w:pPr>
        <w:pStyle w:val="Heading1"/>
        <w:numPr>
          <w:ilvl w:val="0"/>
          <w:numId w:val="1"/>
        </w:numPr>
        <w:ind w:left="420" w:hanging="433"/>
      </w:pPr>
      <w:r>
        <w:t>16. Other Information</w:t>
      </w:r>
    </w:p>
    <w:p w:rsidR="009A7CDE" w:rsidRDefault="009A7CDE" w:rsidP="009A7CDE">
      <w:pPr>
        <w:pStyle w:val="TextBody"/>
      </w:pPr>
      <w:r>
        <w:t xml:space="preserve">V1.0 </w:t>
      </w:r>
      <w:r w:rsidR="007A212B">
        <w:t xml:space="preserve">Preparation Date: </w:t>
      </w:r>
      <w:r w:rsidR="006812EA">
        <w:t>02/05</w:t>
      </w:r>
      <w:r w:rsidR="00A95277">
        <w:t>/2019</w:t>
      </w:r>
    </w:p>
    <w:p w:rsidR="009A7CDE" w:rsidRDefault="009A7CDE" w:rsidP="009A7CDE">
      <w:pPr>
        <w:pStyle w:val="TextBody"/>
      </w:pPr>
    </w:p>
    <w:p w:rsidR="009A7CDE" w:rsidRDefault="009A7CDE" w:rsidP="009A7CDE">
      <w:pPr>
        <w:pStyle w:val="TextBody"/>
      </w:pPr>
    </w:p>
    <w:p w:rsidR="009A7CDE" w:rsidRDefault="009A7CDE" w:rsidP="009A7CDE">
      <w:pPr>
        <w:pStyle w:val="TextBody"/>
      </w:pPr>
    </w:p>
    <w:p w:rsidR="009A7CDE" w:rsidRDefault="009A7CDE" w:rsidP="009A7CDE">
      <w:pPr>
        <w:pStyle w:val="TextBody"/>
      </w:pPr>
    </w:p>
    <w:p w:rsidR="00A65C2B" w:rsidRDefault="00A65C2B"/>
    <w:sectPr w:rsidR="00A65C2B">
      <w:footerReference w:type="default" r:id="rId9"/>
      <w:pgSz w:w="11906" w:h="16838"/>
      <w:pgMar w:top="1134" w:right="1134" w:bottom="1700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20" w:rsidRDefault="00772C20">
      <w:r>
        <w:separator/>
      </w:r>
    </w:p>
  </w:endnote>
  <w:endnote w:type="continuationSeparator" w:id="0">
    <w:p w:rsidR="00772C20" w:rsidRDefault="0077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Itali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-BoldItali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C5" w:rsidRDefault="00EC3119">
    <w:pPr>
      <w:pStyle w:val="Footer"/>
      <w:pBdr>
        <w:top w:val="single" w:sz="2" w:space="1" w:color="000000"/>
        <w:left w:val="nil"/>
        <w:bottom w:val="nil"/>
        <w:right w:val="nil"/>
      </w:pBdr>
      <w:rPr>
        <w:sz w:val="20"/>
        <w:szCs w:val="20"/>
      </w:rPr>
    </w:pPr>
    <w:r>
      <w:rPr>
        <w:sz w:val="20"/>
        <w:szCs w:val="20"/>
      </w:rPr>
      <w:t>Safety Data Sheet –</w:t>
    </w:r>
    <w:r w:rsidR="001D70B3">
      <w:rPr>
        <w:sz w:val="20"/>
        <w:szCs w:val="20"/>
      </w:rPr>
      <w:t>Makeup Remover Wipe</w:t>
    </w:r>
    <w:r w:rsidR="00F43563">
      <w:rPr>
        <w:sz w:val="20"/>
        <w:szCs w:val="20"/>
      </w:rPr>
      <w:tab/>
    </w:r>
    <w:r w:rsidR="00F43563">
      <w:rPr>
        <w:sz w:val="20"/>
        <w:szCs w:val="20"/>
      </w:rPr>
      <w:tab/>
      <w:t xml:space="preserve"> Page </w:t>
    </w:r>
    <w:r w:rsidR="00F43563">
      <w:rPr>
        <w:sz w:val="20"/>
        <w:szCs w:val="20"/>
      </w:rPr>
      <w:fldChar w:fldCharType="begin"/>
    </w:r>
    <w:r w:rsidR="00F43563">
      <w:instrText>PAGE</w:instrText>
    </w:r>
    <w:r w:rsidR="00F43563">
      <w:fldChar w:fldCharType="separate"/>
    </w:r>
    <w:r w:rsidR="00A95277">
      <w:rPr>
        <w:noProof/>
      </w:rPr>
      <w:t>1</w:t>
    </w:r>
    <w:r w:rsidR="00F43563">
      <w:fldChar w:fldCharType="end"/>
    </w:r>
    <w:r w:rsidR="00F43563">
      <w:rPr>
        <w:sz w:val="20"/>
        <w:szCs w:val="20"/>
      </w:rPr>
      <w:t xml:space="preserve"> of </w:t>
    </w:r>
    <w:r w:rsidR="00F43563">
      <w:rPr>
        <w:sz w:val="20"/>
        <w:szCs w:val="20"/>
      </w:rPr>
      <w:fldChar w:fldCharType="begin"/>
    </w:r>
    <w:r w:rsidR="00F43563">
      <w:instrText>NUMPAGES</w:instrText>
    </w:r>
    <w:r w:rsidR="00F43563">
      <w:fldChar w:fldCharType="separate"/>
    </w:r>
    <w:r w:rsidR="00A95277">
      <w:rPr>
        <w:noProof/>
      </w:rPr>
      <w:t>6</w:t>
    </w:r>
    <w:r w:rsidR="00F4356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20" w:rsidRDefault="00772C20">
      <w:r>
        <w:separator/>
      </w:r>
    </w:p>
  </w:footnote>
  <w:footnote w:type="continuationSeparator" w:id="0">
    <w:p w:rsidR="00772C20" w:rsidRDefault="0077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F09"/>
    <w:multiLevelType w:val="hybridMultilevel"/>
    <w:tmpl w:val="0A62904A"/>
    <w:lvl w:ilvl="0" w:tplc="A066EDA8">
      <w:start w:val="5989"/>
      <w:numFmt w:val="bullet"/>
      <w:lvlText w:val="-"/>
      <w:lvlJc w:val="left"/>
      <w:pPr>
        <w:ind w:left="720" w:hanging="360"/>
      </w:pPr>
      <w:rPr>
        <w:rFonts w:ascii="Times-Italic" w:eastAsiaTheme="minorHAnsi" w:hAnsi="Times-Italic" w:cs="Times-Italic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6CFD"/>
    <w:multiLevelType w:val="hybridMultilevel"/>
    <w:tmpl w:val="460C85CA"/>
    <w:lvl w:ilvl="0" w:tplc="753A947E">
      <w:start w:val="598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F71F3"/>
    <w:multiLevelType w:val="multilevel"/>
    <w:tmpl w:val="74BEF942"/>
    <w:lvl w:ilvl="0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368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12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656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944"/>
        </w:tabs>
        <w:ind w:left="1944" w:hanging="1584"/>
      </w:pPr>
    </w:lvl>
  </w:abstractNum>
  <w:abstractNum w:abstractNumId="3">
    <w:nsid w:val="7F0E1439"/>
    <w:multiLevelType w:val="hybridMultilevel"/>
    <w:tmpl w:val="2FC64CDC"/>
    <w:lvl w:ilvl="0" w:tplc="CB506760">
      <w:start w:val="598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DE"/>
    <w:rsid w:val="00082A8A"/>
    <w:rsid w:val="000B1F16"/>
    <w:rsid w:val="000C3BCC"/>
    <w:rsid w:val="001D70B3"/>
    <w:rsid w:val="001E35C5"/>
    <w:rsid w:val="002275EE"/>
    <w:rsid w:val="00230C1A"/>
    <w:rsid w:val="002B599F"/>
    <w:rsid w:val="002D0CF4"/>
    <w:rsid w:val="00363497"/>
    <w:rsid w:val="003674D8"/>
    <w:rsid w:val="00412F14"/>
    <w:rsid w:val="0048001C"/>
    <w:rsid w:val="00535CB0"/>
    <w:rsid w:val="005B79B0"/>
    <w:rsid w:val="00662BF8"/>
    <w:rsid w:val="006631FE"/>
    <w:rsid w:val="006812EA"/>
    <w:rsid w:val="00722683"/>
    <w:rsid w:val="00763570"/>
    <w:rsid w:val="00772C20"/>
    <w:rsid w:val="007A212B"/>
    <w:rsid w:val="008614F0"/>
    <w:rsid w:val="00892C2E"/>
    <w:rsid w:val="0089684E"/>
    <w:rsid w:val="009A7CDE"/>
    <w:rsid w:val="009B330D"/>
    <w:rsid w:val="009D2077"/>
    <w:rsid w:val="009F719A"/>
    <w:rsid w:val="00A02357"/>
    <w:rsid w:val="00A65C2B"/>
    <w:rsid w:val="00A95277"/>
    <w:rsid w:val="00AD5989"/>
    <w:rsid w:val="00B315CA"/>
    <w:rsid w:val="00BD6394"/>
    <w:rsid w:val="00D01967"/>
    <w:rsid w:val="00D15407"/>
    <w:rsid w:val="00D728A2"/>
    <w:rsid w:val="00DB63A6"/>
    <w:rsid w:val="00DD0DB6"/>
    <w:rsid w:val="00E526EF"/>
    <w:rsid w:val="00EA134D"/>
    <w:rsid w:val="00EC3119"/>
    <w:rsid w:val="00EF3C6F"/>
    <w:rsid w:val="00F43563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C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link w:val="Heading1Char"/>
    <w:rsid w:val="009A7CDE"/>
    <w:pPr>
      <w:keepNext/>
      <w:tabs>
        <w:tab w:val="num" w:pos="792"/>
      </w:tabs>
      <w:spacing w:before="240" w:after="120"/>
      <w:ind w:left="420" w:hanging="433"/>
      <w:outlineLvl w:val="0"/>
    </w:pPr>
    <w:rPr>
      <w:rFonts w:eastAsia="Microsoft YaHe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7CDE"/>
    <w:rPr>
      <w:rFonts w:ascii="Times New Roman" w:eastAsia="Microsoft YaHei" w:hAnsi="Times New Roman" w:cs="Mangal"/>
      <w:b/>
      <w:bCs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9A7CDE"/>
    <w:pPr>
      <w:spacing w:after="140" w:line="288" w:lineRule="auto"/>
    </w:pPr>
  </w:style>
  <w:style w:type="paragraph" w:styleId="Footer">
    <w:name w:val="footer"/>
    <w:basedOn w:val="Normal"/>
    <w:link w:val="FooterChar"/>
    <w:rsid w:val="009A7CD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A7CDE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9A7CDE"/>
    <w:rPr>
      <w:sz w:val="22"/>
    </w:rPr>
  </w:style>
  <w:style w:type="paragraph" w:styleId="NoSpacing">
    <w:name w:val="No Spacing"/>
    <w:uiPriority w:val="1"/>
    <w:qFormat/>
    <w:rsid w:val="008968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674D8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74D8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7C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Heading1">
    <w:name w:val="heading 1"/>
    <w:basedOn w:val="Normal"/>
    <w:next w:val="TextBody"/>
    <w:link w:val="Heading1Char"/>
    <w:rsid w:val="009A7CDE"/>
    <w:pPr>
      <w:keepNext/>
      <w:tabs>
        <w:tab w:val="num" w:pos="792"/>
      </w:tabs>
      <w:spacing w:before="240" w:after="120"/>
      <w:ind w:left="420" w:hanging="433"/>
      <w:outlineLvl w:val="0"/>
    </w:pPr>
    <w:rPr>
      <w:rFonts w:eastAsia="Microsoft YaHe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7CDE"/>
    <w:rPr>
      <w:rFonts w:ascii="Times New Roman" w:eastAsia="Microsoft YaHei" w:hAnsi="Times New Roman" w:cs="Mangal"/>
      <w:b/>
      <w:bCs/>
      <w:sz w:val="36"/>
      <w:szCs w:val="36"/>
      <w:lang w:eastAsia="zh-CN" w:bidi="hi-IN"/>
    </w:rPr>
  </w:style>
  <w:style w:type="paragraph" w:customStyle="1" w:styleId="TextBody">
    <w:name w:val="Text Body"/>
    <w:basedOn w:val="Normal"/>
    <w:rsid w:val="009A7CDE"/>
    <w:pPr>
      <w:spacing w:after="140" w:line="288" w:lineRule="auto"/>
    </w:pPr>
  </w:style>
  <w:style w:type="paragraph" w:styleId="Footer">
    <w:name w:val="footer"/>
    <w:basedOn w:val="Normal"/>
    <w:link w:val="FooterChar"/>
    <w:rsid w:val="009A7CDE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9A7CDE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9A7CDE"/>
    <w:rPr>
      <w:sz w:val="22"/>
    </w:rPr>
  </w:style>
  <w:style w:type="paragraph" w:styleId="NoSpacing">
    <w:name w:val="No Spacing"/>
    <w:uiPriority w:val="1"/>
    <w:qFormat/>
    <w:rsid w:val="0089684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3674D8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74D8"/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Fagan</dc:creator>
  <cp:lastModifiedBy>anita</cp:lastModifiedBy>
  <cp:revision>4</cp:revision>
  <dcterms:created xsi:type="dcterms:W3CDTF">2019-07-08T11:06:00Z</dcterms:created>
  <dcterms:modified xsi:type="dcterms:W3CDTF">2019-07-08T11:20:00Z</dcterms:modified>
</cp:coreProperties>
</file>