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object w:dxaOrig="4231" w:dyaOrig="587">
          <v:rect xmlns:o="urn:schemas-microsoft-com:office:office" xmlns:v="urn:schemas-microsoft-com:vml" id="rectole0000000000" style="width:211.550000pt;height:29.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SAFETY DATA SHEET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Preparation Date:</w:t>
        <w:tab/>
        <w:t xml:space="preserve">27/04/2018</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Version: </w:t>
        <w:tab/>
        <w:tab/>
        <w:t xml:space="preserve">1.0</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3"/>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 Identification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715"/>
        <w:gridCol w:w="6975"/>
      </w:tblGrid>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Product Name</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Kryolan Cine Wax</w:t>
            </w:r>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Article Number</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5421, 5422, 5423</w:t>
            </w:r>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Recommended Use</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Special effects applications by make-up artists</w:t>
            </w:r>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Supplier / Importer</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Kryolan Australia Pty Ltd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86 Woodlands Drive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Braeside Vic 3195</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Australia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Ph: 03 9580 8122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Fax: 03 9580 7074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sales@kryolan.com.au</w:t>
            </w:r>
          </w:p>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auto"/>
                <w:spacing w:val="0"/>
                <w:position w:val="0"/>
                <w:sz w:val="22"/>
                <w:shd w:fill="auto" w:val="clear"/>
              </w:rPr>
              <w:t xml:space="preserve">Web: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www.kryolan.com.au</w:t>
              </w:r>
            </w:hyperlink>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Emergency Contact</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03 9580 8122  or 0419 586 189 (after hours)</w:t>
            </w: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17"/>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2. Hazard Identification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715"/>
        <w:gridCol w:w="6975"/>
      </w:tblGrid>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Signal Word</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Xi Irritant</w:t>
            </w:r>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Hazard Statement</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May cause sensitisation by skin contact.Harmful to aquatic organisms, may cause long-term adverse effects in the aquatic environment.</w:t>
            </w:r>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Precautionary Statements</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Prevention:</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0"/>
                <w:shd w:fill="auto" w:val="clear"/>
              </w:rPr>
              <w:t xml:space="preserve">Avoid breathing dust/fume/gas/mist/vapours/spray.</w:t>
            </w:r>
          </w:p>
          <w:p>
            <w:pPr>
              <w:suppressAutoHyphens w:val="true"/>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Response:</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If skin irritation or rash occurs: Get medical advice/attention.</w:t>
            </w:r>
          </w:p>
          <w:p>
            <w:pPr>
              <w:suppressAutoHyphens w:val="true"/>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case of fire: Use CO2, powder or water spray for extinction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Storage</w:t>
            </w: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Store is a well-ventilated place. Keep cool.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Disposal: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Disposal of contents/container in accordance with local regulations.</w:t>
            </w:r>
          </w:p>
          <w:p>
            <w:pPr>
              <w:suppressAutoHyphens w:val="true"/>
              <w:spacing w:before="0" w:after="0" w:line="240"/>
              <w:ind w:right="0" w:left="0" w:firstLine="0"/>
              <w:jc w:val="left"/>
              <w:rPr>
                <w:color w:val="auto"/>
                <w:spacing w:val="0"/>
                <w:position w:val="0"/>
              </w:rPr>
            </w:pPr>
          </w:p>
        </w:tc>
      </w:tr>
    </w:tbl>
    <w:p>
      <w:pPr>
        <w:keepNext w:val="true"/>
        <w:numPr>
          <w:ilvl w:val="0"/>
          <w:numId w:val="27"/>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3. Composition and information on ingredients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Cera Alba (Beeswax), Petrolatum, Polyethylene, Ethylhexyl Palmitate, Copernicia Cerifera Cera (Copernicia Cerifera (Carnauba) Wax), Polybutene, Cetyl Palmitate, Paraffinum Liquidum (Mineral Oil), Talc, Paraffin, Candelilla Cera (Euphorbia Cerifera (Candelilla) Wax), Hexyl Laurate, Tocopherol, Lanolin Alcohol, Propylene Glycol, BHT, Cetearyl Alcohol, Glyceryl Stearate, Ascorbyl Palmitate, Citric Acid, Parfum (Fragrance) and may contain: [+/- Titanium Dioxide CI 77891, Iron Oxides CI 77491, CI 77492, CI 77499, Yellow 5 Lake CI 19140, Carmine CI 75470, Ultramarines CI 77007, Red 7 Lake CI 15850, Red 36 CI 12085] May contain carmine as a color additive.</w:t>
      </w:r>
    </w:p>
    <w:p>
      <w:pPr>
        <w:keepNext w:val="true"/>
        <w:numPr>
          <w:ilvl w:val="0"/>
          <w:numId w:val="29"/>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4. First Aid Measures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265"/>
        <w:gridCol w:w="7380"/>
      </w:tblGrid>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General Information</w:t>
            </w:r>
          </w:p>
        </w:tc>
        <w:tc>
          <w:tcPr>
            <w:tcW w:w="7380"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Immediately remove any clothing soiled by the product.</w:t>
            </w: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Inhaled</w:t>
            </w:r>
          </w:p>
        </w:tc>
        <w:tc>
          <w:tcPr>
            <w:tcW w:w="7380"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Void</w:t>
            </w: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Skin Contact</w:t>
            </w:r>
          </w:p>
        </w:tc>
        <w:tc>
          <w:tcPr>
            <w:tcW w:w="7380"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If skin irritation continues, consult a doctor.</w:t>
            </w: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Eye Contact</w:t>
            </w:r>
          </w:p>
        </w:tc>
        <w:tc>
          <w:tcPr>
            <w:tcW w:w="7380"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Rinse opened eye for several minutes under running water. Then consult a doctor.</w:t>
            </w: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Swallowed</w:t>
            </w:r>
          </w:p>
        </w:tc>
        <w:tc>
          <w:tcPr>
            <w:tcW w:w="7380"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Rinse out mouth and then drink plenty of water.</w:t>
            </w:r>
          </w:p>
          <w:p>
            <w:pPr>
              <w:suppressAutoHyphens w:val="true"/>
              <w:spacing w:before="0" w:after="0" w:line="240"/>
              <w:ind w:right="0" w:left="0" w:firstLine="0"/>
              <w:jc w:val="left"/>
              <w:rPr>
                <w:color w:val="auto"/>
                <w:spacing w:val="0"/>
                <w:position w:val="0"/>
                <w:sz w:val="22"/>
              </w:rPr>
            </w:pP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Possible symptoms</w:t>
            </w:r>
          </w:p>
        </w:tc>
        <w:tc>
          <w:tcPr>
            <w:tcW w:w="7380"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45"/>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5. Fire-fighting measures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670"/>
        <w:gridCol w:w="6975"/>
      </w:tblGrid>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Suitable extinguishing equipment</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Italic" w:hAnsi="Times-Italic" w:cs="Times-Italic" w:eastAsia="Times-Italic"/>
                <w:color w:val="auto"/>
                <w:spacing w:val="0"/>
                <w:position w:val="0"/>
                <w:sz w:val="22"/>
                <w:shd w:fill="auto" w:val="clear"/>
              </w:rPr>
              <w:t xml:space="preserve">Use fire extinguishing methods suitable to surrounding conditions</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Specific hazards caused by the substance</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Italic" w:hAnsi="Times-Italic" w:cs="Times-Italic" w:eastAsia="Times-Italic"/>
                <w:color w:val="auto"/>
                <w:spacing w:val="0"/>
                <w:position w:val="0"/>
                <w:sz w:val="22"/>
                <w:shd w:fill="auto" w:val="clear"/>
              </w:rPr>
              <w:t xml:space="preserve">Void</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Special Protective Equipment for Fire Fighters</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Void</w:t>
            </w: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56"/>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6. Accidental Release Measures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Observe all local regulations.</w:t>
      </w:r>
    </w:p>
    <w:tbl>
      <w:tblPr>
        <w:tblInd w:w="55" w:type="dxa"/>
      </w:tblPr>
      <w:tblGrid>
        <w:gridCol w:w="2670"/>
        <w:gridCol w:w="6975"/>
      </w:tblGrid>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Personal Precautions, Protective Equipment</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Not required</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Environmental Precautions</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Not required</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Methods and materials for containment and cleanup</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Prevent seepage into sewage system, workpits and cellars.</w:t>
            </w:r>
          </w:p>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Pick up mechanically.</w:t>
            </w: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BoldItalic" w:hAnsi="Times-BoldItalic" w:cs="Times-BoldItalic" w:eastAsia="Times-BoldItalic"/>
          <w:b/>
          <w:i/>
          <w:color w:val="auto"/>
          <w:spacing w:val="0"/>
          <w:position w:val="0"/>
          <w:sz w:val="20"/>
          <w:shd w:fill="auto" w:val="clear"/>
        </w:rPr>
      </w:pPr>
    </w:p>
    <w:p>
      <w:pPr>
        <w:keepNext w:val="true"/>
        <w:numPr>
          <w:ilvl w:val="0"/>
          <w:numId w:val="70"/>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7. Handling and storage</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265"/>
        <w:gridCol w:w="7380"/>
      </w:tblGrid>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Safe Handling</w:t>
            </w:r>
          </w:p>
        </w:tc>
        <w:tc>
          <w:tcPr>
            <w:tcW w:w="7380"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Keep away from heat and direct sunlight.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40"/>
              <w:ind w:right="0" w:left="0" w:firstLine="0"/>
              <w:jc w:val="left"/>
              <w:rPr>
                <w:color w:val="auto"/>
                <w:spacing w:val="0"/>
                <w:position w:val="0"/>
                <w:sz w:val="22"/>
              </w:rPr>
            </w:pP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Storage</w:t>
            </w:r>
          </w:p>
        </w:tc>
        <w:tc>
          <w:tcPr>
            <w:tcW w:w="7380"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Store in a cool location.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Store away from foodstuffs.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Keep container tightly sealed.</w:t>
            </w:r>
          </w:p>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Store in cool, dry conditions in well sealed receptacles.</w:t>
            </w: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79"/>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8. Exposure Controls and Personal Protection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Safe Work Australia has set the following workplace exposure standards:</w:t>
      </w:r>
    </w:p>
    <w:tbl>
      <w:tblPr>
        <w:tblInd w:w="55" w:type="dxa"/>
      </w:tblPr>
      <w:tblGrid>
        <w:gridCol w:w="1650"/>
        <w:gridCol w:w="1590"/>
        <w:gridCol w:w="1350"/>
        <w:gridCol w:w="1530"/>
        <w:gridCol w:w="1530"/>
        <w:gridCol w:w="1935"/>
      </w:tblGrid>
      <w:tr>
        <w:trPr>
          <w:trHeight w:val="1" w:hRule="atLeast"/>
          <w:jc w:val="left"/>
        </w:trPr>
        <w:tc>
          <w:tcPr>
            <w:tcW w:w="165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Chemical Name</w:t>
            </w:r>
          </w:p>
        </w:tc>
        <w:tc>
          <w:tcPr>
            <w:tcW w:w="159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CAS Number</w:t>
            </w:r>
          </w:p>
        </w:tc>
        <w:tc>
          <w:tcPr>
            <w:tcW w:w="135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TWA (ppm)</w:t>
            </w:r>
          </w:p>
        </w:tc>
        <w:tc>
          <w:tcPr>
            <w:tcW w:w="153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TWA (mg/m</w:t>
            </w:r>
            <w:r>
              <w:rPr>
                <w:rFonts w:ascii="Times New Roman" w:hAnsi="Times New Roman" w:cs="Times New Roman" w:eastAsia="Times New Roman"/>
                <w:b/>
                <w:color w:val="auto"/>
                <w:spacing w:val="0"/>
                <w:position w:val="0"/>
                <w:sz w:val="22"/>
                <w:shd w:fill="auto" w:val="clear"/>
                <w:vertAlign w:val="superscript"/>
              </w:rPr>
              <w:t xml:space="preserve">3</w:t>
            </w:r>
            <w:r>
              <w:rPr>
                <w:rFonts w:ascii="Times New Roman" w:hAnsi="Times New Roman" w:cs="Times New Roman" w:eastAsia="Times New Roman"/>
                <w:b/>
                <w:color w:val="auto"/>
                <w:spacing w:val="0"/>
                <w:position w:val="0"/>
                <w:sz w:val="22"/>
                <w:shd w:fill="auto" w:val="clear"/>
              </w:rPr>
              <w:t xml:space="preserve">)</w:t>
            </w:r>
          </w:p>
        </w:tc>
        <w:tc>
          <w:tcPr>
            <w:tcW w:w="153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STEL (ppm)</w:t>
            </w:r>
          </w:p>
        </w:tc>
        <w:tc>
          <w:tcPr>
            <w:tcW w:w="193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STEL (mg/m</w:t>
            </w:r>
            <w:r>
              <w:rPr>
                <w:rFonts w:ascii="Times New Roman" w:hAnsi="Times New Roman" w:cs="Times New Roman" w:eastAsia="Times New Roman"/>
                <w:b/>
                <w:color w:val="auto"/>
                <w:spacing w:val="0"/>
                <w:position w:val="0"/>
                <w:sz w:val="22"/>
                <w:shd w:fill="auto" w:val="clear"/>
                <w:vertAlign w:val="superscript"/>
              </w:rPr>
              <w:t xml:space="preserve">3</w:t>
            </w:r>
            <w:r>
              <w:rPr>
                <w:rFonts w:ascii="Times New Roman" w:hAnsi="Times New Roman" w:cs="Times New Roman" w:eastAsia="Times New Roman"/>
                <w:b/>
                <w:color w:val="auto"/>
                <w:spacing w:val="0"/>
                <w:position w:val="0"/>
                <w:sz w:val="22"/>
                <w:shd w:fill="auto" w:val="clear"/>
              </w:rPr>
              <w:t xml:space="preserve">)</w:t>
            </w:r>
          </w:p>
        </w:tc>
      </w:tr>
      <w:tr>
        <w:trPr>
          <w:trHeight w:val="1" w:hRule="atLeast"/>
          <w:jc w:val="left"/>
        </w:trPr>
        <w:tc>
          <w:tcPr>
            <w:tcW w:w="165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9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35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w:t>
            </w:r>
          </w:p>
        </w:tc>
        <w:tc>
          <w:tcPr>
            <w:tcW w:w="193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w:t>
            </w:r>
          </w:p>
        </w:tc>
      </w:tr>
      <w:tr>
        <w:trPr>
          <w:trHeight w:val="161" w:hRule="auto"/>
          <w:jc w:val="left"/>
        </w:trPr>
        <w:tc>
          <w:tcPr>
            <w:tcW w:w="165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9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35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3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140" w:line="288"/>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Personal Protective Equipment: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General protective and hygienic measures: </w:t>
      </w:r>
      <w:r>
        <w:rPr>
          <w:rFonts w:ascii="Times New Roman" w:hAnsi="Times New Roman" w:cs="Times New Roman" w:eastAsia="Times New Roman"/>
          <w:color w:val="auto"/>
          <w:spacing w:val="0"/>
          <w:position w:val="0"/>
          <w:sz w:val="22"/>
          <w:shd w:fill="auto" w:val="clear"/>
        </w:rPr>
        <w:t xml:space="preserve">Wash hands before breaks and at the end of work.</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Respiratory protection: </w:t>
      </w:r>
      <w:r>
        <w:rPr>
          <w:rFonts w:ascii="Times New Roman" w:hAnsi="Times New Roman" w:cs="Times New Roman" w:eastAsia="Times New Roman"/>
          <w:color w:val="auto"/>
          <w:spacing w:val="0"/>
          <w:position w:val="0"/>
          <w:sz w:val="22"/>
          <w:shd w:fill="auto" w:val="clear"/>
        </w:rPr>
        <w:t xml:space="preserve">Not necessary if room is well-ventilated.</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Protection of hands: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glove material has to be impermeable and resistant to the product/ the substance/ the preparation.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Due to missing tests no recommendation to the glove material can be given for the product/ the preparation/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chemical mixture.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Selection of the glove material on consideration of the penetration times, rates of diffusion and the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degradation</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Material of gloves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selection of the suitable gloves does not only depend on the material, but also on further marks of quality and varies from manufacturer to manufacturer.</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Penetration time of glove material: Not necessary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Eye protection: Not necessary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numPr>
          <w:ilvl w:val="0"/>
          <w:numId w:val="92"/>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9. Physical and Chemical Properties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160"/>
        <w:gridCol w:w="7485"/>
      </w:tblGrid>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Appearance</w:t>
            </w:r>
          </w:p>
        </w:tc>
        <w:tc>
          <w:tcPr>
            <w:tcW w:w="748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Structurally viscous</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Odour</w:t>
            </w:r>
          </w:p>
        </w:tc>
        <w:tc>
          <w:tcPr>
            <w:tcW w:w="748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Characteristic</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Melting Point</w:t>
            </w:r>
          </w:p>
        </w:tc>
        <w:tc>
          <w:tcPr>
            <w:tcW w:w="748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Undetermined</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Boiling Point</w:t>
            </w:r>
          </w:p>
        </w:tc>
        <w:tc>
          <w:tcPr>
            <w:tcW w:w="748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Not determined</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Flash Point</w:t>
            </w:r>
          </w:p>
        </w:tc>
        <w:tc>
          <w:tcPr>
            <w:tcW w:w="748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Not determined</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Ignition Point</w:t>
            </w:r>
          </w:p>
        </w:tc>
        <w:tc>
          <w:tcPr>
            <w:tcW w:w="748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Product is not self-igniting</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Danger of explosion</w:t>
            </w:r>
          </w:p>
        </w:tc>
        <w:tc>
          <w:tcPr>
            <w:tcW w:w="748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Product is not explosive. However, formation of explosive air/vapour mixture is </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Explosion Limits</w:t>
            </w:r>
          </w:p>
        </w:tc>
        <w:tc>
          <w:tcPr>
            <w:tcW w:w="748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No explosion hazard</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Vapour Pressure at 20°C</w:t>
            </w:r>
          </w:p>
        </w:tc>
        <w:tc>
          <w:tcPr>
            <w:tcW w:w="748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Density at 20°C</w:t>
            </w:r>
          </w:p>
        </w:tc>
        <w:tc>
          <w:tcPr>
            <w:tcW w:w="748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Solubility / Miscibility with water</w:t>
            </w:r>
          </w:p>
        </w:tc>
        <w:tc>
          <w:tcPr>
            <w:tcW w:w="748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140" w:line="288"/>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Inoluble</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Solvent Contents</w:t>
            </w:r>
          </w:p>
        </w:tc>
        <w:tc>
          <w:tcPr>
            <w:tcW w:w="748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140" w:line="288"/>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Organic Solvents 100%</w:t>
            </w: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0"/>
          <w:shd w:fill="auto" w:val="clear"/>
        </w:rPr>
      </w:pPr>
    </w:p>
    <w:p>
      <w:pPr>
        <w:keepNext w:val="true"/>
        <w:numPr>
          <w:ilvl w:val="0"/>
          <w:numId w:val="123"/>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10. Stability and Reactivity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Thermal decomposition / conditions to be avoided: </w:t>
      </w:r>
      <w:r>
        <w:rPr>
          <w:rFonts w:ascii="Times New Roman" w:hAnsi="Times New Roman" w:cs="Times New Roman" w:eastAsia="Times New Roman"/>
          <w:color w:val="auto"/>
          <w:spacing w:val="0"/>
          <w:position w:val="0"/>
          <w:sz w:val="22"/>
          <w:shd w:fill="auto" w:val="clear"/>
        </w:rPr>
        <w:t xml:space="preserve">No decomposition if used according to specifications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Dangerous reactions: </w:t>
      </w:r>
      <w:r>
        <w:rPr>
          <w:rFonts w:ascii="Times New Roman" w:hAnsi="Times New Roman" w:cs="Times New Roman" w:eastAsia="Times New Roman"/>
          <w:color w:val="auto"/>
          <w:spacing w:val="0"/>
          <w:position w:val="0"/>
          <w:sz w:val="22"/>
          <w:shd w:fill="auto" w:val="clear"/>
        </w:rPr>
        <w:t xml:space="preserve">None known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Dangerous decomposition products: </w:t>
      </w:r>
      <w:r>
        <w:rPr>
          <w:rFonts w:ascii="Times New Roman" w:hAnsi="Times New Roman" w:cs="Times New Roman" w:eastAsia="Times New Roman"/>
          <w:color w:val="auto"/>
          <w:spacing w:val="0"/>
          <w:position w:val="0"/>
          <w:sz w:val="22"/>
          <w:shd w:fill="auto" w:val="clear"/>
        </w:rPr>
        <w:t xml:space="preserve">None known.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0"/>
          <w:shd w:fill="auto" w:val="clear"/>
        </w:rPr>
      </w:pPr>
    </w:p>
    <w:p>
      <w:pPr>
        <w:keepNext w:val="true"/>
        <w:numPr>
          <w:ilvl w:val="0"/>
          <w:numId w:val="126"/>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11. Toxicological Information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2"/>
          <w:shd w:fill="auto" w:val="clear"/>
        </w:rPr>
      </w:pPr>
    </w:p>
    <w:tbl>
      <w:tblPr>
        <w:tblInd w:w="55" w:type="dxa"/>
      </w:tblPr>
      <w:tblGrid>
        <w:gridCol w:w="1530"/>
        <w:gridCol w:w="3120"/>
        <w:gridCol w:w="2430"/>
      </w:tblGrid>
      <w:tr>
        <w:trPr>
          <w:trHeight w:val="1" w:hRule="atLeast"/>
          <w:jc w:val="left"/>
        </w:trPr>
        <w:tc>
          <w:tcPr>
            <w:tcW w:w="153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Oral</w:t>
            </w:r>
          </w:p>
        </w:tc>
        <w:tc>
          <w:tcPr>
            <w:tcW w:w="312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None</w:t>
            </w:r>
          </w:p>
        </w:tc>
        <w:tc>
          <w:tcPr>
            <w:tcW w:w="2430"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3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Inhaled</w:t>
            </w:r>
          </w:p>
        </w:tc>
        <w:tc>
          <w:tcPr>
            <w:tcW w:w="312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None</w:t>
            </w:r>
          </w:p>
        </w:tc>
        <w:tc>
          <w:tcPr>
            <w:tcW w:w="2430"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3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Skin</w:t>
            </w:r>
          </w:p>
        </w:tc>
        <w:tc>
          <w:tcPr>
            <w:tcW w:w="312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No irritant effect</w:t>
            </w:r>
          </w:p>
        </w:tc>
        <w:tc>
          <w:tcPr>
            <w:tcW w:w="2430"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3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Eyes</w:t>
            </w:r>
          </w:p>
        </w:tc>
        <w:tc>
          <w:tcPr>
            <w:tcW w:w="312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Irritating to eyes</w:t>
            </w:r>
          </w:p>
        </w:tc>
        <w:tc>
          <w:tcPr>
            <w:tcW w:w="2430"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3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Sensitisation</w:t>
            </w:r>
          </w:p>
        </w:tc>
        <w:tc>
          <w:tcPr>
            <w:tcW w:w="312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No sensitisation effects known</w:t>
            </w:r>
          </w:p>
        </w:tc>
        <w:tc>
          <w:tcPr>
            <w:tcW w:w="2430"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numPr>
          <w:ilvl w:val="0"/>
          <w:numId w:val="141"/>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12. Ecological Information</w:t>
      </w:r>
    </w:p>
    <w:p>
      <w:pPr>
        <w:keepLines w:val="true"/>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Persistance and Degradability:</w:t>
      </w:r>
    </w:p>
    <w:p>
      <w:pPr>
        <w:keepLines w:val="true"/>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product is easily biodregable.</w:t>
      </w:r>
    </w:p>
    <w:p>
      <w:pPr>
        <w:keepNext w:val="true"/>
        <w:numPr>
          <w:ilvl w:val="0"/>
          <w:numId w:val="143"/>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13. Disposal Considerations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Disposal Methods:</w:t>
        <w:br/>
        <w:t xml:space="preserve">Ensure waste disposal conforms to local waste disposal regulations.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145"/>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14. Transport Information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670"/>
        <w:gridCol w:w="6975"/>
      </w:tblGrid>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UN Number</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Proper Shipping Name</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Transport Hazard Class</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Packing Group</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Environmental Hazards</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None</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Special Precautions for user</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Hazchem or Emergency Action Code</w:t>
            </w:r>
          </w:p>
        </w:tc>
        <w:tc>
          <w:tcPr>
            <w:tcW w:w="69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None</w:t>
            </w: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164"/>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15. Regulatory Information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1470"/>
        <w:gridCol w:w="8175"/>
        <w:gridCol w:w="8175"/>
      </w:tblGrid>
      <w:tr>
        <w:trPr>
          <w:trHeight w:val="1" w:hRule="atLeast"/>
          <w:jc w:val="left"/>
        </w:trPr>
        <w:tc>
          <w:tcPr>
            <w:tcW w:w="1470" w:type="dxa"/>
            <w:tcBorders>
              <w:top w:val="single" w:color="000000" w:sz="2"/>
              <w:left w:val="single" w:color="000000" w:sz="2"/>
              <w:bottom w:val="single" w:color="000000" w:sz="2"/>
              <w:right w:val="single" w:color="000000" w:sz="0"/>
            </w:tcBorders>
            <w:shd w:color="auto" w:fill="auto"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AICS</w:t>
            </w:r>
          </w:p>
        </w:tc>
        <w:tc>
          <w:tcPr>
            <w:tcW w:w="8175" w:type="dxa"/>
            <w:tcBorders>
              <w:top w:val="single" w:color="000000" w:sz="2"/>
              <w:left w:val="single" w:color="000000" w:sz="2"/>
              <w:bottom w:val="single" w:color="000000" w:sz="2"/>
              <w:right w:val="single" w:color="000000" w:sz="2"/>
            </w:tcBorders>
            <w:shd w:color="000000" w:fill="ffffff" w:val="clear"/>
            <w:tcMar>
              <w:left w:w="26" w:type="dxa"/>
              <w:right w:w="26" w:type="dxa"/>
            </w:tcMar>
            <w:vAlign w:val="top"/>
          </w:tcPr>
          <w:p>
            <w:pPr>
              <w:suppressAutoHyphens w:val="true"/>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All ingredients are listed on AICS</w:t>
            </w:r>
          </w:p>
        </w:tc>
        <w:tc>
          <w:tcPr>
            <w:tcW w:w="8175" w:type="dxa"/>
            <w:tcBorders>
              <w:top w:val="single" w:color="000000" w:sz="2"/>
              <w:left w:val="single" w:color="000000" w:sz="2"/>
              <w:bottom w:val="single" w:color="000000" w:sz="2"/>
              <w:right w:val="single" w:color="000000" w:sz="2"/>
            </w:tcBorders>
            <w:shd w:color="auto" w:fill="auto" w:val="clear"/>
            <w:tcMar>
              <w:left w:w="26" w:type="dxa"/>
              <w:right w:w="26"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170"/>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16. Other Information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V1.0 Preparation Date: 27/04/2018</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3">
    <w:abstractNumId w:val="90"/>
  </w:num>
  <w:num w:numId="17">
    <w:abstractNumId w:val="84"/>
  </w:num>
  <w:num w:numId="27">
    <w:abstractNumId w:val="78"/>
  </w:num>
  <w:num w:numId="29">
    <w:abstractNumId w:val="72"/>
  </w:num>
  <w:num w:numId="45">
    <w:abstractNumId w:val="66"/>
  </w:num>
  <w:num w:numId="56">
    <w:abstractNumId w:val="60"/>
  </w:num>
  <w:num w:numId="70">
    <w:abstractNumId w:val="54"/>
  </w:num>
  <w:num w:numId="79">
    <w:abstractNumId w:val="48"/>
  </w:num>
  <w:num w:numId="92">
    <w:abstractNumId w:val="42"/>
  </w:num>
  <w:num w:numId="123">
    <w:abstractNumId w:val="36"/>
  </w:num>
  <w:num w:numId="126">
    <w:abstractNumId w:val="30"/>
  </w:num>
  <w:num w:numId="141">
    <w:abstractNumId w:val="24"/>
  </w:num>
  <w:num w:numId="143">
    <w:abstractNumId w:val="18"/>
  </w:num>
  <w:num w:numId="145">
    <w:abstractNumId w:val="12"/>
  </w:num>
  <w:num w:numId="164">
    <w:abstractNumId w:val="6"/>
  </w:num>
  <w:num w:numId="17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kryolan.com.au/" Id="docRId2" Type="http://schemas.openxmlformats.org/officeDocument/2006/relationships/hyperlink" /><Relationship Target="styles.xml" Id="docRId4" Type="http://schemas.openxmlformats.org/officeDocument/2006/relationships/styles" /></Relationships>
</file>