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object w:dxaOrig="3338" w:dyaOrig="468">
          <v:rect xmlns:o="urn:schemas-microsoft-com:office:office" xmlns:v="urn:schemas-microsoft-com:vml" id="rectole0000000000" style="width:166.900000pt;height:23.4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p>
    <w:p>
      <w:pPr>
        <w:suppressAutoHyphens w:val="true"/>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SAFETY DATA SHEET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Preparation Date:</w:t>
        <w:tab/>
        <w:t xml:space="preserve">02/05/2018</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Version: </w:t>
        <w:tab/>
        <w:tab/>
        <w:t xml:space="preserve">1.1</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 Identification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715"/>
        <w:gridCol w:w="6975"/>
      </w:tblGrid>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 Name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b/>
                <w:i/>
                <w:color w:val="auto"/>
                <w:spacing w:val="0"/>
                <w:position w:val="0"/>
                <w:sz w:val="20"/>
                <w:shd w:fill="auto" w:val="clear"/>
              </w:rPr>
              <w:t xml:space="preserve">HD Micro foundation </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Article Number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widowControl w:val="fals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19130, 19140</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Recommended Use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Cosmetic Application</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Supplier / Importer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Kryolan Australia Pty Ltd</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86 Woodlands Drive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Braeside Vic 3195</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Australia</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Ph: 03 9580 8122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Fax: 03 9580 7074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sales@kryolan.com.au</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Web: </w:t>
            </w:r>
            <w:hyperlink xmlns:r="http://schemas.openxmlformats.org/officeDocument/2006/relationships" r:id="docRId2">
              <w:r>
                <w:rPr>
                  <w:rFonts w:ascii="Times New Roman" w:hAnsi="Times New Roman" w:cs="Times New Roman" w:eastAsia="Times New Roman"/>
                  <w:color w:val="0000FF"/>
                  <w:spacing w:val="0"/>
                  <w:position w:val="0"/>
                  <w:sz w:val="22"/>
                  <w:u w:val="single"/>
                  <w:shd w:fill="auto" w:val="clear"/>
                </w:rPr>
                <w:t xml:space="preserve">www.kryolan.com.au</w:t>
              </w:r>
            </w:hyperlink>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Emergency Contact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03 9580 8122  or 0419 586 189 (after hours)</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above cited materials, preparations, and products are exempted from the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2"/>
          <w:shd w:fill="auto" w:val="clear"/>
        </w:rPr>
        <w:t xml:space="preserve">obligation of providing safety data sheets.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22"/>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2. Hazard Identification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715"/>
        <w:gridCol w:w="6975"/>
      </w:tblGrid>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Signal Word</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Hazard Statement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Void</w:t>
            </w:r>
          </w:p>
          <w:p>
            <w:pPr>
              <w:widowControl w:val="false"/>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b/>
                <w:i/>
                <w:color w:val="auto"/>
                <w:spacing w:val="0"/>
                <w:position w:val="0"/>
                <w:sz w:val="20"/>
                <w:shd w:fill="auto" w:val="clear"/>
              </w:rPr>
              <w:t xml:space="preserve">Hazard description: </w:t>
            </w:r>
            <w:r>
              <w:rPr>
                <w:rFonts w:ascii="Times New Roman" w:hAnsi="Times New Roman" w:cs="Times New Roman" w:eastAsia="Times New Roman"/>
                <w:i/>
                <w:color w:val="auto"/>
                <w:spacing w:val="0"/>
                <w:position w:val="0"/>
                <w:sz w:val="20"/>
                <w:shd w:fill="auto" w:val="clear"/>
              </w:rPr>
              <w:t xml:space="preserve">Not applicable.</w:t>
            </w:r>
          </w:p>
          <w:p>
            <w:pPr>
              <w:widowControl w:val="fals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b/>
                <w:i/>
                <w:color w:val="auto"/>
                <w:spacing w:val="0"/>
                <w:position w:val="0"/>
                <w:sz w:val="20"/>
                <w:shd w:fill="auto" w:val="clear"/>
              </w:rPr>
              <w:t xml:space="preserve">Information concerning particular hazards for human and environment:</w:t>
            </w:r>
          </w:p>
          <w:p>
            <w:pPr>
              <w:widowControl w:val="false"/>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The product does not have to be labelled due to the calculation procedure of the "General Classification</w:t>
            </w:r>
          </w:p>
          <w:p>
            <w:pPr>
              <w:widowControl w:val="false"/>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guideline for preparations of the EU" in the latest valid version.</w:t>
            </w:r>
          </w:p>
          <w:p>
            <w:pPr>
              <w:widowControl w:val="false"/>
              <w:spacing w:before="0" w:after="0" w:line="240"/>
              <w:ind w:right="0" w:left="0" w:firstLine="0"/>
              <w:jc w:val="left"/>
              <w:rPr>
                <w:rFonts w:ascii="Times New Roman" w:hAnsi="Times New Roman" w:cs="Times New Roman" w:eastAsia="Times New Roman"/>
                <w:b/>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 </w:t>
            </w:r>
            <w:r>
              <w:rPr>
                <w:rFonts w:ascii="Times New Roman" w:hAnsi="Times New Roman" w:cs="Times New Roman" w:eastAsia="Times New Roman"/>
                <w:b/>
                <w:i/>
                <w:color w:val="auto"/>
                <w:spacing w:val="0"/>
                <w:position w:val="0"/>
                <w:sz w:val="20"/>
                <w:shd w:fill="auto" w:val="clear"/>
              </w:rPr>
              <w:t xml:space="preserve">Classification system:</w:t>
            </w:r>
          </w:p>
          <w:p>
            <w:pPr>
              <w:widowControl w:val="false"/>
              <w:spacing w:before="0" w:after="0" w:line="240"/>
              <w:ind w:right="0" w:left="0" w:firstLine="0"/>
              <w:jc w:val="lef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The classification is according to the latest editions of the EU-lists, and extended by company and literature</w:t>
            </w:r>
          </w:p>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data.</w:t>
            </w:r>
          </w:p>
        </w:tc>
      </w:tr>
      <w:tr>
        <w:trPr>
          <w:trHeight w:val="1" w:hRule="atLeast"/>
          <w:jc w:val="left"/>
        </w:trPr>
        <w:tc>
          <w:tcPr>
            <w:tcW w:w="271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Precautionary Statements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Prevention:</w:t>
            </w:r>
            <w:r>
              <w:rPr>
                <w:rFonts w:ascii="Times New Roman" w:hAnsi="Times New Roman" w:cs="Times New Roman" w:eastAsia="Times New Roman"/>
                <w:color w:val="auto"/>
                <w:spacing w:val="0"/>
                <w:position w:val="0"/>
                <w:sz w:val="22"/>
                <w:shd w:fill="auto" w:val="clear"/>
              </w:rPr>
              <w:t xml:space="preserve"> Void</w:t>
            </w: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Response:</w:t>
            </w:r>
            <w:r>
              <w:rPr>
                <w:rFonts w:ascii="Times New Roman" w:hAnsi="Times New Roman" w:cs="Times New Roman" w:eastAsia="Times New Roman"/>
                <w:color w:val="auto"/>
                <w:spacing w:val="0"/>
                <w:position w:val="0"/>
                <w:sz w:val="22"/>
                <w:shd w:fill="auto" w:val="clear"/>
              </w:rPr>
              <w:t xml:space="preserve">In case of fire: Use CO2, powder or water spray for extinction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Storage</w:t>
            </w: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in a well-ventilated place. Keep cool.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uppressAutoHyphens w:val="true"/>
              <w:spacing w:before="0" w:after="0" w:line="240"/>
              <w:ind w:right="0" w:left="0" w:firstLine="0"/>
              <w:jc w:val="left"/>
              <w:rPr>
                <w:rFonts w:ascii="Times New Roman" w:hAnsi="Times New Roman" w:cs="Times New Roman" w:eastAsia="Times New Roman"/>
                <w:i/>
                <w:color w:val="auto"/>
                <w:spacing w:val="0"/>
                <w:position w:val="0"/>
                <w:sz w:val="22"/>
                <w:shd w:fill="auto" w:val="clear"/>
              </w:rPr>
            </w:pPr>
            <w:r>
              <w:rPr>
                <w:rFonts w:ascii="Times New Roman" w:hAnsi="Times New Roman" w:cs="Times New Roman" w:eastAsia="Times New Roman"/>
                <w:i/>
                <w:color w:val="auto"/>
                <w:spacing w:val="0"/>
                <w:position w:val="0"/>
                <w:sz w:val="22"/>
                <w:shd w:fill="auto" w:val="clear"/>
              </w:rPr>
              <w:t xml:space="preserve">Disposal:</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Disposal of contents/container in accordance with local regulations.</w:t>
            </w:r>
          </w:p>
          <w:p>
            <w:pPr>
              <w:suppressAutoHyphens w:val="true"/>
              <w:spacing w:before="0" w:after="0" w:line="240"/>
              <w:ind w:right="0" w:left="0" w:firstLine="0"/>
              <w:jc w:val="left"/>
              <w:rPr>
                <w:color w:val="auto"/>
                <w:spacing w:val="0"/>
                <w:position w:val="0"/>
                <w:sz w:val="22"/>
                <w:shd w:fill="auto" w:val="clear"/>
              </w:rPr>
            </w:pPr>
          </w:p>
        </w:tc>
      </w:tr>
    </w:tbl>
    <w:p>
      <w:pPr>
        <w:keepNext w:val="true"/>
        <w:numPr>
          <w:ilvl w:val="0"/>
          <w:numId w:val="3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3. Composition and information on ingredients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HD Smoothing:</w:t>
      </w:r>
    </w:p>
    <w:p>
      <w:pPr>
        <w:suppressAutoHyphens w:val="true"/>
        <w:spacing w:before="0" w:after="14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Hydrogenated Polyisobutene, Talc, Polymethyl Methacrylate, C18-38 Alkyl Hydroxystearoyl Stearate, Aqua (Water), Cyclopentasiloxane, Octyldodecanol, VP/ Eicosene Copolymer, Cera Alba (Beeswax), Kaolin, Cetyl Alcohol, Ethylhexyl Methoxycinnamate (Octinoxate), Homosalate, Dimethicone, Trimethylsiloxysilicate, Alcohol Denat., Lecithin, Phenoxyethanol, Silica Dimethyl Silylate, Methylparaben, Ethylparaben, Hydroxyproline, Disodium Rutinyl Disulfate, Propylparaben, Sorbitol, Magnesium Ascorbyl Phosphate, Citric Acid, Glyceryl Oleate, Glyceryl Stearate, Tocopherol, BHT, Parfum (Fragrance) and may contain: [+/- Titanium Dioxide CI 77891, Iron Oxides CI 77491, CI 77492, CI 77499, Ultramarines CI 77007, Yellow 5 Lake CI 19140, Red 36 CI 12085, Carmine CI 75470, Red 40 Lake CI 16035] May contain carmine as a color additive</w:t>
      </w:r>
    </w:p>
    <w:p>
      <w:pPr>
        <w:suppressAutoHyphens w:val="true"/>
        <w:spacing w:before="0" w:after="140" w:line="288"/>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HD Matifying:</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Calibri" w:hAnsi="Calibri" w:cs="Calibri" w:eastAsia="Calibri"/>
          <w:color w:val="auto"/>
          <w:spacing w:val="0"/>
          <w:position w:val="0"/>
          <w:sz w:val="22"/>
          <w:shd w:fill="auto" w:val="clear"/>
        </w:rPr>
        <w:t xml:space="preserve">Dimethicone, Isododecane, Dimethicone/Vinyl Dimethicone Crosspolymer, Cyclopentasiloxane, C18-38 Alkyl Hydroxystearoyl Stearate, Polymethyl Methacrylate, Tocopheryl Acetate, Cera Alba (Beeswax), Trimethylsiloxysilicate, Disteardimonium Hectorite, Nylon-12, Polyethylene, Homosalate, Alcohol Denat. (SD Alcohol 40), Polybutene, Octocrylene, Silica Dimethyl Silylate, Parfum (Fragrance) and may contain: [+/- Titanium Dioxide CI 77891, Iron Oxides CI 77491, CI 77492, CI 77499, Ultramarines CI 77007, Yellow 5 Lake CI 19140, Red 36 CI 12085, Carmine CI 75470, Red 40 Lake CI 16035] May contain carmine as a color additive.</w:t>
      </w:r>
    </w:p>
    <w:p>
      <w:pPr>
        <w:keepNext w:val="true"/>
        <w:numPr>
          <w:ilvl w:val="0"/>
          <w:numId w:val="36"/>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4. First Aid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265"/>
        <w:gridCol w:w="7380"/>
      </w:tblGrid>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General Information</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known irritant</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Inhaled</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Void</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Skin Contact</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If skin irritation continues, consult a doctor.</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Eye Contact</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Rinse opened eye for several minutes under running water. Then consult a doctor.</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Swallowed</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i/>
                <w:color w:val="auto"/>
                <w:spacing w:val="0"/>
                <w:position w:val="0"/>
                <w:sz w:val="20"/>
                <w:shd w:fill="auto" w:val="clear"/>
              </w:rPr>
              <w:t xml:space="preserve">Do not induce vomiting; call for medical help immediately.</w:t>
            </w: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Possible symptoms</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further relevant information available.</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5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5. Fire-fighting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Suitable extinguishing equipment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Italic" w:hAnsi="Times-Italic" w:cs="Times-Italic" w:eastAsia="Times-Italic"/>
                <w:color w:val="auto"/>
                <w:spacing w:val="0"/>
                <w:position w:val="0"/>
                <w:sz w:val="22"/>
                <w:shd w:fill="auto" w:val="clear"/>
              </w:rPr>
              <w:t xml:space="preserve">Void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Specific hazards caused by the substance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Italic" w:hAnsi="Times-Italic" w:cs="Times-Italic" w:eastAsia="Times-Italic"/>
                <w:color w:val="auto"/>
                <w:spacing w:val="0"/>
                <w:position w:val="0"/>
                <w:sz w:val="22"/>
                <w:shd w:fill="auto" w:val="clear"/>
              </w:rPr>
              <w:t xml:space="preserve">Void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Special Protective Equipment for Fire Fighters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Void</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6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6. Accidental Release Measures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Observe all local regulations.</w:t>
      </w: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Personal Precautions, Protective Equipment</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required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Environmental Precautions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required</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Methods and materials for containment and cleanup</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special measures required</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BoldItalic" w:hAnsi="Times-BoldItalic" w:cs="Times-BoldItalic" w:eastAsia="Times-BoldItalic"/>
          <w:b/>
          <w:i/>
          <w:color w:val="auto"/>
          <w:spacing w:val="0"/>
          <w:position w:val="0"/>
          <w:sz w:val="20"/>
          <w:shd w:fill="auto" w:val="clear"/>
        </w:rPr>
      </w:pPr>
    </w:p>
    <w:p>
      <w:pPr>
        <w:keepNext w:val="true"/>
        <w:numPr>
          <w:ilvl w:val="0"/>
          <w:numId w:val="76"/>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7. Handling and storage</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265"/>
        <w:gridCol w:w="7380"/>
      </w:tblGrid>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Safe Handling</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Keep away from heat and direct sunlight.</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p>
            <w:pPr>
              <w:suppressAutoHyphens w:val="true"/>
              <w:spacing w:before="0" w:after="0" w:line="240"/>
              <w:ind w:right="0" w:left="0" w:firstLine="0"/>
              <w:jc w:val="left"/>
              <w:rPr>
                <w:color w:val="auto"/>
                <w:spacing w:val="0"/>
                <w:position w:val="0"/>
                <w:sz w:val="22"/>
                <w:shd w:fill="auto" w:val="clear"/>
              </w:rPr>
            </w:pPr>
          </w:p>
        </w:tc>
      </w:tr>
      <w:tr>
        <w:trPr>
          <w:trHeight w:val="1" w:hRule="atLeast"/>
          <w:jc w:val="left"/>
        </w:trPr>
        <w:tc>
          <w:tcPr>
            <w:tcW w:w="2265"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Storage</w:t>
            </w:r>
          </w:p>
        </w:tc>
        <w:tc>
          <w:tcPr>
            <w:tcW w:w="738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in a cool location.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away from foodstuffs.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Keep container tightly sealed.</w:t>
            </w:r>
          </w:p>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Store in cool, dry conditions in well sealed receptacles.</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85"/>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8. Exposure Controls and Personal Protection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Safe Work Australia has set the following workplace exposure standards:</w:t>
      </w:r>
    </w:p>
    <w:p>
      <w:pPr>
        <w:suppressAutoHyphens w:val="true"/>
        <w:spacing w:before="0" w:after="140" w:line="288"/>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0"/>
          <w:shd w:fill="auto" w:val="clear"/>
        </w:rPr>
        <w:t xml:space="preserve">Ingredients with limit values that require monitoring at the workplace:</w:t>
      </w:r>
    </w:p>
    <w:p>
      <w:pPr>
        <w:widowControl w:val="false"/>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w:t>
      </w: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widowControl w:val="fals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product does not contain any relevant quantities of materials with critical values that have to be monitored at the workplace.</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Personal Protective Equipment:</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General protective and hygienic measures: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Wash hands before breaks and at the end of work.</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Immediately remove all soiled and contaminated clothing</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Respiratory protection: </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necessary if room is well-ventilated.</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Protection of hands:</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The glove material has to be impermeable and resistant to the product/ the substance/ the preparation. Due to missing tests no recommendation to the glove material can be given for the product/ the preparation/the chemical mixture. Selection of the glove material on consideration of the penetration times, rates of diffusion and the</w:t>
      </w:r>
      <w:r>
        <w:rPr>
          <w:rFonts w:ascii="Times New Roman" w:hAnsi="Times New Roman" w:cs="Times New Roman" w:eastAsia="Times New Roman"/>
          <w:b/>
          <w:color w:val="auto"/>
          <w:spacing w:val="0"/>
          <w:position w:val="0"/>
          <w:sz w:val="22"/>
          <w:shd w:fill="auto" w:val="clear"/>
        </w:rPr>
        <w:t xml:space="preserve"> </w:t>
      </w:r>
      <w:r>
        <w:rPr>
          <w:rFonts w:ascii="Times New Roman" w:hAnsi="Times New Roman" w:cs="Times New Roman" w:eastAsia="Times New Roman"/>
          <w:color w:val="auto"/>
          <w:spacing w:val="0"/>
          <w:position w:val="0"/>
          <w:sz w:val="22"/>
          <w:shd w:fill="auto" w:val="clear"/>
        </w:rPr>
        <w:t xml:space="preserve">degradation.</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Material of gloves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The selection of the suitable gloves does not only depend on the material, but also on further marks of quality and varies from manufacturer to manufacturer.</w:t>
      </w:r>
    </w:p>
    <w:p>
      <w:pPr>
        <w:suppressAutoHyphens w:val="true"/>
        <w:spacing w:before="0" w:after="0" w:line="240"/>
        <w:ind w:right="0" w:left="0" w:firstLine="0"/>
        <w:jc w:val="left"/>
        <w:rPr>
          <w:rFonts w:ascii="Times New Roman" w:hAnsi="Times New Roman" w:cs="Times New Roman" w:eastAsia="Times New Roman"/>
          <w:b/>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Penetration time of glove material: Not necessary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 </w:t>
      </w:r>
      <w:r>
        <w:rPr>
          <w:rFonts w:ascii="Times New Roman" w:hAnsi="Times New Roman" w:cs="Times New Roman" w:eastAsia="Times New Roman"/>
          <w:b/>
          <w:color w:val="auto"/>
          <w:spacing w:val="0"/>
          <w:position w:val="0"/>
          <w:sz w:val="22"/>
          <w:shd w:fill="auto" w:val="clear"/>
        </w:rPr>
        <w:t xml:space="preserve">Eye protection: Not necessary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keepNext w:val="true"/>
        <w:numPr>
          <w:ilvl w:val="0"/>
          <w:numId w:val="90"/>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9. Physical and Chemical Properties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160"/>
        <w:gridCol w:w="7485"/>
      </w:tblGrid>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Appearance</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Fluid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Odour</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Characteristic</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Melting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Boiling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Flash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Not determined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Ignition Point</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 is not self-igniting</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Danger of explosion</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Product is not explosive. However, formations of explosive air/vapour mixtures are possible.</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Explosion Limits</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explosion hazard</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Vapour Pressure at 20°C</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Density at 20°C</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Solubility / Miscibility with water</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14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Soluble</w:t>
            </w:r>
          </w:p>
        </w:tc>
      </w:tr>
      <w:tr>
        <w:trPr>
          <w:trHeight w:val="1" w:hRule="atLeast"/>
          <w:jc w:val="left"/>
        </w:trPr>
        <w:tc>
          <w:tcPr>
            <w:tcW w:w="216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Solvent Contents</w:t>
            </w:r>
          </w:p>
        </w:tc>
        <w:tc>
          <w:tcPr>
            <w:tcW w:w="748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140" w:line="288"/>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N/A</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0"/>
          <w:shd w:fill="auto" w:val="clear"/>
        </w:rPr>
      </w:pPr>
    </w:p>
    <w:p>
      <w:pPr>
        <w:keepNext w:val="true"/>
        <w:numPr>
          <w:ilvl w:val="0"/>
          <w:numId w:val="121"/>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10. Stability and Reactivity</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Thermal decomposition / conditions to be avoided: </w:t>
      </w:r>
      <w:r>
        <w:rPr>
          <w:rFonts w:ascii="Times New Roman" w:hAnsi="Times New Roman" w:cs="Times New Roman" w:eastAsia="Times New Roman"/>
          <w:color w:val="auto"/>
          <w:spacing w:val="0"/>
          <w:position w:val="0"/>
          <w:sz w:val="22"/>
          <w:shd w:fill="auto" w:val="clear"/>
        </w:rPr>
        <w:t xml:space="preserve">No decomposition if used according to specifications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Dangerous reactions: </w:t>
      </w:r>
      <w:r>
        <w:rPr>
          <w:rFonts w:ascii="Times New Roman" w:hAnsi="Times New Roman" w:cs="Times New Roman" w:eastAsia="Times New Roman"/>
          <w:color w:val="auto"/>
          <w:spacing w:val="0"/>
          <w:position w:val="0"/>
          <w:sz w:val="22"/>
          <w:shd w:fill="auto" w:val="clear"/>
        </w:rPr>
        <w:t xml:space="preserve">No dangerous reactions known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auto"/>
          <w:spacing w:val="0"/>
          <w:position w:val="0"/>
          <w:sz w:val="22"/>
          <w:shd w:fill="auto" w:val="clear"/>
        </w:rPr>
        <w:t xml:space="preserve">Dangerous decomposition products: </w:t>
      </w:r>
      <w:r>
        <w:rPr>
          <w:rFonts w:ascii="Times New Roman" w:hAnsi="Times New Roman" w:cs="Times New Roman" w:eastAsia="Times New Roman"/>
          <w:color w:val="auto"/>
          <w:spacing w:val="0"/>
          <w:position w:val="0"/>
          <w:sz w:val="22"/>
          <w:shd w:fill="auto" w:val="clear"/>
        </w:rPr>
        <w:t xml:space="preserve">No dangerous decomposition products known.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0"/>
          <w:shd w:fill="auto" w:val="clear"/>
        </w:rPr>
      </w:pPr>
    </w:p>
    <w:p>
      <w:pPr>
        <w:keepNext w:val="true"/>
        <w:numPr>
          <w:ilvl w:val="0"/>
          <w:numId w:val="12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11. Toxicological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2"/>
          <w:shd w:fill="auto" w:val="clear"/>
        </w:rPr>
      </w:pPr>
    </w:p>
    <w:tbl>
      <w:tblPr>
        <w:tblInd w:w="55" w:type="dxa"/>
      </w:tblPr>
      <w:tblGrid>
        <w:gridCol w:w="1530"/>
        <w:gridCol w:w="3120"/>
        <w:gridCol w:w="2430"/>
      </w:tblGrid>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Oral</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Inhaled</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Skin</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irritant effect</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Eyes</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Irritating to eyes</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left"/>
        </w:trPr>
        <w:tc>
          <w:tcPr>
            <w:tcW w:w="153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Sensitisation</w:t>
            </w:r>
          </w:p>
        </w:tc>
        <w:tc>
          <w:tcPr>
            <w:tcW w:w="312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 sensitisation effects known</w:t>
            </w:r>
          </w:p>
        </w:tc>
        <w:tc>
          <w:tcPr>
            <w:tcW w:w="2430"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2"/>
          <w:shd w:fill="auto" w:val="clear"/>
        </w:rPr>
      </w:pPr>
    </w:p>
    <w:p>
      <w:pPr>
        <w:keepNext w:val="true"/>
        <w:keepLines w:val="true"/>
        <w:numPr>
          <w:ilvl w:val="0"/>
          <w:numId w:val="139"/>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12. Ecological Information</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Persistence and Degradability:</w:t>
      </w:r>
    </w:p>
    <w:p>
      <w:pPr>
        <w:numPr>
          <w:ilvl w:val="0"/>
          <w:numId w:val="141"/>
        </w:numPr>
        <w:suppressAutoHyphens w:val="true"/>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Negative ecological effects are, according to the current state of knowledge, not expected.</w:t>
      </w:r>
    </w:p>
    <w:p>
      <w:pPr>
        <w:numPr>
          <w:ilvl w:val="0"/>
          <w:numId w:val="141"/>
        </w:numPr>
        <w:suppressAutoHyphens w:val="true"/>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Due to available data on eliminability/decomposition and bioaccumulation potential a prolonged damage of the environment is unlikely. </w:t>
      </w:r>
    </w:p>
    <w:p>
      <w:pPr>
        <w:numPr>
          <w:ilvl w:val="0"/>
          <w:numId w:val="141"/>
        </w:numPr>
        <w:suppressAutoHyphens w:val="true"/>
        <w:spacing w:before="0" w:after="0" w:line="240"/>
        <w:ind w:right="0" w:left="720" w:hanging="36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At present there are no ecotoxicological assessments.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43"/>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13. Disposal Considerations</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Disposal Methods:</w:t>
        <w:br/>
        <w:t xml:space="preserve">-Smaller quantities can be disposed of with household waste.</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-Ensure waste disposal conforms to local waste disposal regulations.</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46"/>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14. Transport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2670"/>
        <w:gridCol w:w="6975"/>
      </w:tblGrid>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UN Number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Proper Shipping Name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Transport Hazard Class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Packing Group</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Environmental Hazards</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Special Precautions for user</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N/A</w:t>
            </w:r>
          </w:p>
        </w:tc>
      </w:tr>
      <w:tr>
        <w:trPr>
          <w:trHeight w:val="1" w:hRule="atLeast"/>
          <w:jc w:val="left"/>
        </w:trPr>
        <w:tc>
          <w:tcPr>
            <w:tcW w:w="26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Hazchem or Emergency Action Code</w:t>
            </w:r>
          </w:p>
        </w:tc>
        <w:tc>
          <w:tcPr>
            <w:tcW w:w="69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None</w:t>
            </w: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64"/>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15. Regulatory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tbl>
      <w:tblPr>
        <w:tblInd w:w="55" w:type="dxa"/>
      </w:tblPr>
      <w:tblGrid>
        <w:gridCol w:w="1470"/>
        <w:gridCol w:w="8175"/>
        <w:gridCol w:w="8175"/>
      </w:tblGrid>
      <w:tr>
        <w:trPr>
          <w:trHeight w:val="1" w:hRule="atLeast"/>
          <w:jc w:val="left"/>
        </w:trPr>
        <w:tc>
          <w:tcPr>
            <w:tcW w:w="1470" w:type="dxa"/>
            <w:tcBorders>
              <w:top w:val="single" w:color="000000" w:sz="2"/>
              <w:left w:val="single" w:color="000000" w:sz="2"/>
              <w:bottom w:val="single" w:color="000000" w:sz="2"/>
              <w:right w:val="single" w:color="000000" w:sz="0"/>
            </w:tcBorders>
            <w:shd w:color="auto" w:fill="auto"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AICS</w:t>
            </w:r>
          </w:p>
        </w:tc>
        <w:tc>
          <w:tcPr>
            <w:tcW w:w="8175" w:type="dxa"/>
            <w:tcBorders>
              <w:top w:val="single" w:color="000000" w:sz="2"/>
              <w:left w:val="single" w:color="000000" w:sz="2"/>
              <w:bottom w:val="single" w:color="000000" w:sz="2"/>
              <w:right w:val="single" w:color="000000" w:sz="2"/>
            </w:tcBorders>
            <w:shd w:color="000000" w:fill="ffffff" w:val="clear"/>
            <w:tcMar>
              <w:left w:w="27" w:type="dxa"/>
              <w:right w:w="27" w:type="dxa"/>
            </w:tcMar>
            <w:vAlign w:val="top"/>
          </w:tcPr>
          <w:p>
            <w:pPr>
              <w:suppressAutoHyphens w:val="true"/>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All ingredients are listed on AICS</w:t>
            </w:r>
          </w:p>
        </w:tc>
        <w:tc>
          <w:tcPr>
            <w:tcW w:w="8175" w:type="dxa"/>
            <w:tcBorders>
              <w:top w:val="single" w:color="000000" w:sz="2"/>
              <w:left w:val="single" w:color="000000" w:sz="2"/>
              <w:bottom w:val="single" w:color="000000" w:sz="2"/>
              <w:right w:val="single" w:color="000000" w:sz="2"/>
            </w:tcBorders>
            <w:shd w:color="auto" w:fill="auto" w:val="clear"/>
            <w:tcMar>
              <w:left w:w="27" w:type="dxa"/>
              <w:right w:w="27" w:type="dxa"/>
            </w:tcMar>
            <w:vAlign w:val="top"/>
          </w:tcPr>
          <w:p>
            <w:pPr>
              <w:suppressAutoHyphens w:val="true"/>
              <w:spacing w:before="0" w:after="0" w:line="240"/>
              <w:ind w:right="0" w:left="0" w:firstLine="0"/>
              <w:jc w:val="left"/>
              <w:rPr>
                <w:rFonts w:ascii="Calibri" w:hAnsi="Calibri" w:cs="Calibri" w:eastAsia="Calibri"/>
                <w:color w:val="auto"/>
                <w:spacing w:val="0"/>
                <w:position w:val="0"/>
                <w:sz w:val="22"/>
                <w:shd w:fill="auto" w:val="clear"/>
              </w:rPr>
            </w:pPr>
          </w:p>
        </w:tc>
      </w:tr>
    </w:tbl>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keepNext w:val="true"/>
        <w:numPr>
          <w:ilvl w:val="0"/>
          <w:numId w:val="170"/>
        </w:numPr>
        <w:tabs>
          <w:tab w:val="left" w:pos="792" w:leader="none"/>
        </w:tabs>
        <w:suppressAutoHyphens w:val="true"/>
        <w:spacing w:before="240" w:after="120" w:line="240"/>
        <w:ind w:right="0" w:left="420" w:hanging="433"/>
        <w:jc w:val="left"/>
        <w:rPr>
          <w:rFonts w:ascii="Times New Roman" w:hAnsi="Times New Roman" w:cs="Times New Roman" w:eastAsia="Times New Roman"/>
          <w:b/>
          <w:color w:val="auto"/>
          <w:spacing w:val="0"/>
          <w:position w:val="0"/>
          <w:sz w:val="36"/>
          <w:shd w:fill="auto" w:val="clear"/>
        </w:rPr>
      </w:pPr>
      <w:r>
        <w:rPr>
          <w:rFonts w:ascii="Times New Roman" w:hAnsi="Times New Roman" w:cs="Times New Roman" w:eastAsia="Times New Roman"/>
          <w:b/>
          <w:color w:val="auto"/>
          <w:spacing w:val="0"/>
          <w:position w:val="0"/>
          <w:sz w:val="36"/>
          <w:shd w:fill="auto" w:val="clear"/>
        </w:rPr>
        <w:t xml:space="preserve">16. Other Information</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V1.1 Preparation Date: 02/05/2018</w:t>
      </w: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140" w:line="288"/>
        <w:ind w:right="0" w:left="0" w:firstLine="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num w:numId="3">
    <w:abstractNumId w:val="96"/>
  </w:num>
  <w:num w:numId="22">
    <w:abstractNumId w:val="90"/>
  </w:num>
  <w:num w:numId="34">
    <w:abstractNumId w:val="84"/>
  </w:num>
  <w:num w:numId="36">
    <w:abstractNumId w:val="78"/>
  </w:num>
  <w:num w:numId="53">
    <w:abstractNumId w:val="72"/>
  </w:num>
  <w:num w:numId="64">
    <w:abstractNumId w:val="66"/>
  </w:num>
  <w:num w:numId="76">
    <w:abstractNumId w:val="60"/>
  </w:num>
  <w:num w:numId="85">
    <w:abstractNumId w:val="54"/>
  </w:num>
  <w:num w:numId="90">
    <w:abstractNumId w:val="48"/>
  </w:num>
  <w:num w:numId="121">
    <w:abstractNumId w:val="42"/>
  </w:num>
  <w:num w:numId="124">
    <w:abstractNumId w:val="36"/>
  </w:num>
  <w:num w:numId="139">
    <w:abstractNumId w:val="30"/>
  </w:num>
  <w:num w:numId="141">
    <w:abstractNumId w:val="24"/>
  </w:num>
  <w:num w:numId="143">
    <w:abstractNumId w:val="18"/>
  </w:num>
  <w:num w:numId="146">
    <w:abstractNumId w:val="12"/>
  </w:num>
  <w:num w:numId="164">
    <w:abstractNumId w:val="6"/>
  </w:num>
  <w:num w:numId="17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kryolan.com.au/" Id="docRId2" Type="http://schemas.openxmlformats.org/officeDocument/2006/relationships/hyperlink" /><Relationship Target="styles.xml" Id="docRId4" Type="http://schemas.openxmlformats.org/officeDocument/2006/relationships/styles" /></Relationships>
</file>